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784E23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2086,4</w:t>
            </w:r>
            <w:r w:rsidR="003B4381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>2002,5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 xml:space="preserve"> 1995,3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CE3467">
              <w:rPr>
                <w:rFonts w:ascii="Times New Roman" w:hAnsi="Times New Roman"/>
              </w:rPr>
              <w:t xml:space="preserve">1997,95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8B1751">
              <w:rPr>
                <w:rFonts w:ascii="Times New Roman" w:hAnsi="Times New Roman"/>
              </w:rPr>
              <w:t xml:space="preserve"> 801,0</w:t>
            </w:r>
            <w:r w:rsidR="00B71899">
              <w:rPr>
                <w:rFonts w:ascii="Times New Roman" w:hAnsi="Times New Roman"/>
              </w:rPr>
              <w:t xml:space="preserve"> </w:t>
            </w:r>
            <w:r w:rsidR="00362B7E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784E23">
            <w:pPr>
              <w:widowControl w:val="0"/>
              <w:tabs>
                <w:tab w:val="center" w:pos="3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  <w:r w:rsidR="00784E23">
              <w:rPr>
                <w:rFonts w:ascii="Times New Roman" w:hAnsi="Times New Roman"/>
              </w:rPr>
              <w:tab/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7321DB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 1285,4</w:t>
            </w:r>
            <w:r w:rsidR="005A0EF2"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>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381822">
              <w:rPr>
                <w:rFonts w:ascii="Times New Roman" w:hAnsi="Times New Roman"/>
              </w:rPr>
              <w:t>801,0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381822">
              <w:rPr>
                <w:rFonts w:ascii="Times New Roman" w:hAnsi="Times New Roman"/>
              </w:rPr>
              <w:t xml:space="preserve"> 801,0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BB5E05">
        <w:t>4603,8</w:t>
      </w:r>
      <w:r w:rsidR="00437ED7">
        <w:t xml:space="preserve">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1D535D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1D535D">
        <w:tc>
          <w:tcPr>
            <w:tcW w:w="3085" w:type="dxa"/>
            <w:vMerge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1</w:t>
            </w:r>
            <w:r w:rsidRPr="0051125C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2</w:t>
            </w:r>
            <w:r w:rsidRPr="0051125C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3</w:t>
            </w:r>
            <w:r w:rsidRPr="0051125C">
              <w:t xml:space="preserve">  Обеспечение деятельности по предупреждению</w:t>
            </w:r>
            <w:r>
              <w:t xml:space="preserve"> </w:t>
            </w:r>
            <w:r w:rsidRPr="0051125C">
              <w:t>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4</w:t>
            </w:r>
            <w:r w:rsidRPr="0051125C">
              <w:t xml:space="preserve"> Улучшение условий для развития массового спорта и физкультурно-</w:t>
            </w:r>
            <w:r w:rsidRPr="0051125C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  <w:r w:rsidRPr="00054898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176,4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lastRenderedPageBreak/>
              <w:t>Задача 5</w:t>
            </w:r>
            <w:r w:rsidRPr="0051125C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6</w:t>
            </w:r>
            <w:r w:rsidRPr="0051125C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</w:t>
            </w:r>
            <w:r>
              <w:t>4,15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446,5</w:t>
            </w:r>
          </w:p>
        </w:tc>
      </w:tr>
      <w:tr w:rsidR="00BB5E05" w:rsidRPr="00655E8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25C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jc w:val="center"/>
            </w:pPr>
            <w:r>
              <w:t>801,0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4603,8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F60CA3">
        <w:t>7467,4</w:t>
      </w:r>
      <w:r w:rsidR="00095C1A" w:rsidRPr="00655E8C">
        <w:rPr>
          <w:rFonts w:ascii="Times New Roman" w:hAnsi="Times New Roman"/>
        </w:rPr>
        <w:t xml:space="preserve"> 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1D535D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 xml:space="preserve">Обеспечение деятельности администратора муниципальной программы Администрация Бенецкого </w:t>
            </w:r>
            <w:r w:rsidRPr="00652A78">
              <w:lastRenderedPageBreak/>
              <w:t>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2A78" w:rsidRDefault="00652A78" w:rsidP="00F60CA3">
            <w:pPr>
              <w:autoSpaceDE w:val="0"/>
              <w:autoSpaceDN w:val="0"/>
              <w:adjustRightInd w:val="0"/>
            </w:pPr>
          </w:p>
          <w:p w:rsidR="00F60CA3" w:rsidRPr="00652A78" w:rsidRDefault="00F60CA3" w:rsidP="00F60CA3">
            <w:pPr>
              <w:autoSpaceDE w:val="0"/>
              <w:autoSpaceDN w:val="0"/>
              <w:adjustRightInd w:val="0"/>
              <w:jc w:val="center"/>
            </w:pPr>
            <w:r>
              <w:t>1285,4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60CA3" w:rsidP="00652A78">
            <w:pPr>
              <w:jc w:val="center"/>
            </w:pPr>
            <w:r>
              <w:t>7467,4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3265,2</w:t>
            </w:r>
          </w:p>
        </w:tc>
      </w:tr>
      <w:tr w:rsidR="00FF5629" w:rsidRPr="00655E8C" w:rsidTr="00AB29EF">
        <w:trPr>
          <w:trHeight w:val="1570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29EF" w:rsidRDefault="00AB29EF" w:rsidP="00AB29EF">
            <w:pPr>
              <w:jc w:val="center"/>
            </w:pPr>
          </w:p>
          <w:p w:rsidR="00FF5629" w:rsidRPr="00652A78" w:rsidRDefault="00F60CA3" w:rsidP="00AB29EF">
            <w:pPr>
              <w:jc w:val="center"/>
            </w:pPr>
            <w:r>
              <w:t>741,2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tabs>
                <w:tab w:val="center" w:pos="388"/>
              </w:tabs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AB29EF" w:rsidRDefault="00AB29EF" w:rsidP="00AB29EF">
            <w:pPr>
              <w:autoSpaceDE w:val="0"/>
              <w:autoSpaceDN w:val="0"/>
              <w:adjustRightInd w:val="0"/>
              <w:jc w:val="center"/>
            </w:pPr>
          </w:p>
          <w:p w:rsidR="00FF5629" w:rsidRPr="00652A78" w:rsidRDefault="00F60CA3" w:rsidP="00AB29EF">
            <w:pPr>
              <w:autoSpaceDE w:val="0"/>
              <w:autoSpaceDN w:val="0"/>
              <w:adjustRightInd w:val="0"/>
              <w:jc w:val="center"/>
            </w:pPr>
            <w:r>
              <w:t>4202,2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 xml:space="preserve"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</w:t>
      </w:r>
      <w:r w:rsidR="00347580" w:rsidRPr="00655E8C">
        <w:rPr>
          <w:rFonts w:ascii="Times New Roman" w:hAnsi="Times New Roman"/>
        </w:rPr>
        <w:lastRenderedPageBreak/>
        <w:t>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1FE7"/>
    <w:rsid w:val="0002348F"/>
    <w:rsid w:val="00024DCF"/>
    <w:rsid w:val="00030CE9"/>
    <w:rsid w:val="00054898"/>
    <w:rsid w:val="000612CA"/>
    <w:rsid w:val="00063DBE"/>
    <w:rsid w:val="000671E0"/>
    <w:rsid w:val="0007038E"/>
    <w:rsid w:val="00076D3E"/>
    <w:rsid w:val="00080852"/>
    <w:rsid w:val="000929D2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3D83"/>
    <w:rsid w:val="00114BD8"/>
    <w:rsid w:val="001159C2"/>
    <w:rsid w:val="001167BF"/>
    <w:rsid w:val="00121FD0"/>
    <w:rsid w:val="00122B49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0517"/>
    <w:rsid w:val="001C0B2D"/>
    <w:rsid w:val="001C4708"/>
    <w:rsid w:val="001C6E09"/>
    <w:rsid w:val="001D4C6A"/>
    <w:rsid w:val="001D535D"/>
    <w:rsid w:val="001D5EE5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3CC7"/>
    <w:rsid w:val="0020425F"/>
    <w:rsid w:val="002069C1"/>
    <w:rsid w:val="00212F2B"/>
    <w:rsid w:val="00213AAC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32C9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2B7E"/>
    <w:rsid w:val="00363531"/>
    <w:rsid w:val="00365B74"/>
    <w:rsid w:val="00366B45"/>
    <w:rsid w:val="00367385"/>
    <w:rsid w:val="003679A3"/>
    <w:rsid w:val="00371745"/>
    <w:rsid w:val="003729D5"/>
    <w:rsid w:val="003747B4"/>
    <w:rsid w:val="00374BEE"/>
    <w:rsid w:val="00381822"/>
    <w:rsid w:val="00392BF7"/>
    <w:rsid w:val="003942C5"/>
    <w:rsid w:val="003973BE"/>
    <w:rsid w:val="003B0EB7"/>
    <w:rsid w:val="003B4381"/>
    <w:rsid w:val="003B4481"/>
    <w:rsid w:val="003C659F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30177"/>
    <w:rsid w:val="0043171F"/>
    <w:rsid w:val="004363CF"/>
    <w:rsid w:val="00437713"/>
    <w:rsid w:val="00437ED7"/>
    <w:rsid w:val="00443083"/>
    <w:rsid w:val="0044539D"/>
    <w:rsid w:val="00446905"/>
    <w:rsid w:val="00446BD9"/>
    <w:rsid w:val="0045027C"/>
    <w:rsid w:val="004503DA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770F9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16CE7"/>
    <w:rsid w:val="00520027"/>
    <w:rsid w:val="00520EBA"/>
    <w:rsid w:val="005263E1"/>
    <w:rsid w:val="005307DD"/>
    <w:rsid w:val="0054435E"/>
    <w:rsid w:val="00556789"/>
    <w:rsid w:val="005570CD"/>
    <w:rsid w:val="0056360D"/>
    <w:rsid w:val="0056783E"/>
    <w:rsid w:val="00597451"/>
    <w:rsid w:val="005A058A"/>
    <w:rsid w:val="005A0EF2"/>
    <w:rsid w:val="005A49E5"/>
    <w:rsid w:val="005A718A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21DB"/>
    <w:rsid w:val="00737101"/>
    <w:rsid w:val="00744C01"/>
    <w:rsid w:val="007452AF"/>
    <w:rsid w:val="007547FB"/>
    <w:rsid w:val="007609AA"/>
    <w:rsid w:val="00761EC2"/>
    <w:rsid w:val="00761F62"/>
    <w:rsid w:val="00766E9C"/>
    <w:rsid w:val="00782721"/>
    <w:rsid w:val="00784E23"/>
    <w:rsid w:val="00792B07"/>
    <w:rsid w:val="007A00E0"/>
    <w:rsid w:val="007C7111"/>
    <w:rsid w:val="007E1941"/>
    <w:rsid w:val="007F4764"/>
    <w:rsid w:val="007F5722"/>
    <w:rsid w:val="007F638A"/>
    <w:rsid w:val="007F7797"/>
    <w:rsid w:val="00804CA0"/>
    <w:rsid w:val="00811CC5"/>
    <w:rsid w:val="00812E9B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86D36"/>
    <w:rsid w:val="008911CC"/>
    <w:rsid w:val="008B0CFC"/>
    <w:rsid w:val="008B1751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0897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132C"/>
    <w:rsid w:val="009F3ECC"/>
    <w:rsid w:val="00A05A0B"/>
    <w:rsid w:val="00A06570"/>
    <w:rsid w:val="00A075B0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871"/>
    <w:rsid w:val="00A94511"/>
    <w:rsid w:val="00A96541"/>
    <w:rsid w:val="00AB29EF"/>
    <w:rsid w:val="00AB4F1D"/>
    <w:rsid w:val="00AB5384"/>
    <w:rsid w:val="00AB558C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595D"/>
    <w:rsid w:val="00B3742F"/>
    <w:rsid w:val="00B50960"/>
    <w:rsid w:val="00B51C84"/>
    <w:rsid w:val="00B542CF"/>
    <w:rsid w:val="00B54F26"/>
    <w:rsid w:val="00B64115"/>
    <w:rsid w:val="00B64BA3"/>
    <w:rsid w:val="00B658BD"/>
    <w:rsid w:val="00B71899"/>
    <w:rsid w:val="00B72047"/>
    <w:rsid w:val="00B72829"/>
    <w:rsid w:val="00B72B61"/>
    <w:rsid w:val="00B77D4B"/>
    <w:rsid w:val="00B8636C"/>
    <w:rsid w:val="00B96DC4"/>
    <w:rsid w:val="00BA304B"/>
    <w:rsid w:val="00BB23AB"/>
    <w:rsid w:val="00BB5E05"/>
    <w:rsid w:val="00BC060C"/>
    <w:rsid w:val="00BC0848"/>
    <w:rsid w:val="00BC19A4"/>
    <w:rsid w:val="00BD5958"/>
    <w:rsid w:val="00BD7E71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3467"/>
    <w:rsid w:val="00CE5747"/>
    <w:rsid w:val="00CF4BC4"/>
    <w:rsid w:val="00CF6B64"/>
    <w:rsid w:val="00CF70A3"/>
    <w:rsid w:val="00D01FF1"/>
    <w:rsid w:val="00D02CC5"/>
    <w:rsid w:val="00D12A24"/>
    <w:rsid w:val="00D25A61"/>
    <w:rsid w:val="00D31CE0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A6C4D"/>
    <w:rsid w:val="00DB185D"/>
    <w:rsid w:val="00DB1A38"/>
    <w:rsid w:val="00DC40AD"/>
    <w:rsid w:val="00DC5ACD"/>
    <w:rsid w:val="00DD19F7"/>
    <w:rsid w:val="00DD5AE4"/>
    <w:rsid w:val="00DE03B3"/>
    <w:rsid w:val="00DE5AC3"/>
    <w:rsid w:val="00E006F3"/>
    <w:rsid w:val="00E0283B"/>
    <w:rsid w:val="00E028C5"/>
    <w:rsid w:val="00E0390D"/>
    <w:rsid w:val="00E133D5"/>
    <w:rsid w:val="00E170C6"/>
    <w:rsid w:val="00E25386"/>
    <w:rsid w:val="00E26025"/>
    <w:rsid w:val="00E363D3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6026"/>
    <w:rsid w:val="00F37BA5"/>
    <w:rsid w:val="00F45E08"/>
    <w:rsid w:val="00F509C6"/>
    <w:rsid w:val="00F543F6"/>
    <w:rsid w:val="00F55533"/>
    <w:rsid w:val="00F60CA3"/>
    <w:rsid w:val="00F75876"/>
    <w:rsid w:val="00F82730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06B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14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2017-11-16T12:26:00Z</cp:lastPrinted>
  <dcterms:created xsi:type="dcterms:W3CDTF">2013-10-04T06:02:00Z</dcterms:created>
  <dcterms:modified xsi:type="dcterms:W3CDTF">2018-08-08T14:21:00Z</dcterms:modified>
</cp:coreProperties>
</file>