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«Повышение эффективности муниципального управления в Бенецком сельском поселении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</w:t>
      </w:r>
      <w:r w:rsidR="003F683B">
        <w:rPr>
          <w:rFonts w:ascii="Times New Roman" w:hAnsi="Times New Roman"/>
          <w:b/>
          <w:sz w:val="32"/>
          <w:szCs w:val="32"/>
        </w:rPr>
        <w:t>8-2023</w:t>
      </w:r>
      <w:r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  <w:u w:val="single"/>
        </w:rPr>
        <w:t>д</w:t>
      </w:r>
      <w:proofErr w:type="spellEnd"/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Бенцы</w:t>
      </w:r>
      <w:proofErr w:type="spellEnd"/>
      <w:r>
        <w:rPr>
          <w:rFonts w:ascii="Times New Roman" w:hAnsi="Times New Roman"/>
          <w:b/>
          <w:u w:val="single"/>
        </w:rPr>
        <w:t>___</w:t>
      </w:r>
    </w:p>
    <w:p w:rsidR="003729D5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  <w:r w:rsidR="003729D5">
        <w:rPr>
          <w:rFonts w:ascii="Times New Roman" w:hAnsi="Times New Roman"/>
          <w:b/>
        </w:rPr>
        <w:t xml:space="preserve"> год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C0523B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>
        <w:rPr>
          <w:rFonts w:ascii="Times New Roman" w:hAnsi="Times New Roman"/>
        </w:rPr>
        <w:t>П</w:t>
      </w:r>
      <w:r w:rsidR="00095C1A" w:rsidRPr="00655E8C">
        <w:rPr>
          <w:rFonts w:ascii="Times New Roman" w:hAnsi="Times New Roman"/>
        </w:rPr>
        <w:t>аспорт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095C1A" w:rsidRDefault="00095C1A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0B5A13" w:rsidRPr="005A0EF2">
              <w:rPr>
                <w:rFonts w:ascii="Times New Roman" w:hAnsi="Times New Roman"/>
                <w:bCs/>
              </w:rPr>
              <w:t>Бенецком</w:t>
            </w:r>
            <w:r w:rsidR="000B4A6F" w:rsidRPr="005A0EF2">
              <w:rPr>
                <w:rFonts w:ascii="Times New Roman" w:hAnsi="Times New Roman"/>
                <w:bCs/>
              </w:rPr>
              <w:t xml:space="preserve"> 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администрации </w:t>
            </w:r>
            <w:r w:rsidR="00DC5ACD">
              <w:rPr>
                <w:rFonts w:ascii="Times New Roman" w:hAnsi="Times New Roman"/>
              </w:rPr>
              <w:t xml:space="preserve">Бенецкого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DC5ACD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CB43A8">
        <w:trPr>
          <w:trHeight w:val="1823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Бенецком</w:t>
            </w:r>
            <w:r w:rsidR="000B4A6F" w:rsidRPr="005A0EF2">
              <w:rPr>
                <w:rFonts w:ascii="Times New Roman" w:hAnsi="Times New Roman"/>
              </w:rPr>
              <w:t xml:space="preserve"> 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FF20ED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2238,1</w:t>
            </w:r>
            <w:r w:rsidR="003B4381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>
              <w:rPr>
                <w:rFonts w:ascii="Times New Roman" w:hAnsi="Times New Roman"/>
              </w:rPr>
              <w:t>2238,1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тыс. руб. – за счет средств районного бюджета; 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3B438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 1995,3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E3467">
              <w:rPr>
                <w:rFonts w:ascii="Times New Roman" w:hAnsi="Times New Roman"/>
              </w:rPr>
              <w:t xml:space="preserve"> 1995,3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1997,95 тыс. руб., в том числе </w:t>
            </w:r>
            <w:r w:rsidR="00CE3467">
              <w:rPr>
                <w:rFonts w:ascii="Times New Roman" w:hAnsi="Times New Roman"/>
              </w:rPr>
              <w:t xml:space="preserve">1997,95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8B0AC0">
              <w:rPr>
                <w:rFonts w:ascii="Times New Roman" w:hAnsi="Times New Roman"/>
              </w:rPr>
              <w:t xml:space="preserve"> 842,2</w:t>
            </w:r>
            <w:r w:rsidR="00B71899">
              <w:rPr>
                <w:rFonts w:ascii="Times New Roman" w:hAnsi="Times New Roman"/>
              </w:rPr>
              <w:t xml:space="preserve"> </w:t>
            </w:r>
            <w:r w:rsidR="00362B7E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758,85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784E23">
            <w:pPr>
              <w:widowControl w:val="0"/>
              <w:tabs>
                <w:tab w:val="center" w:pos="3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  <w:r w:rsidR="00784E23">
              <w:rPr>
                <w:rFonts w:ascii="Times New Roman" w:hAnsi="Times New Roman"/>
              </w:rPr>
              <w:tab/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Обеспечивающая подпрограмма, в том </w:t>
            </w:r>
            <w:proofErr w:type="spellStart"/>
            <w:r w:rsidRPr="005A0EF2">
              <w:rPr>
                <w:rFonts w:ascii="Times New Roman" w:hAnsi="Times New Roman"/>
              </w:rPr>
              <w:t>чсле</w:t>
            </w:r>
            <w:proofErr w:type="spellEnd"/>
          </w:p>
          <w:p w:rsidR="005A0EF2" w:rsidRPr="005A0EF2" w:rsidRDefault="008B0AC0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 1395,9</w:t>
            </w:r>
            <w:r w:rsidR="005A0EF2"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>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1 муниципальной программы Бенецкого 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</w:t>
            </w:r>
            <w:r>
              <w:rPr>
                <w:rFonts w:ascii="Times New Roman" w:hAnsi="Times New Roman"/>
              </w:rPr>
              <w:lastRenderedPageBreak/>
              <w:t>решения задачи 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4908E9">
              <w:rPr>
                <w:rFonts w:ascii="Times New Roman" w:hAnsi="Times New Roman"/>
              </w:rPr>
              <w:t>842,2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908E9">
              <w:rPr>
                <w:rFonts w:ascii="Times New Roman" w:hAnsi="Times New Roman"/>
              </w:rPr>
              <w:t xml:space="preserve"> 842,2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664F0">
              <w:rPr>
                <w:rFonts w:ascii="Times New Roman" w:hAnsi="Times New Roman"/>
              </w:rPr>
              <w:t>758,85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4664F0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FB59A4">
        <w:rPr>
          <w:rFonts w:ascii="Times New Roman" w:hAnsi="Times New Roman"/>
        </w:rPr>
        <w:t>Бенецкого</w:t>
      </w:r>
      <w:r w:rsidR="00D01FF1">
        <w:rPr>
          <w:rFonts w:ascii="Times New Roman" w:hAnsi="Times New Roman"/>
        </w:rPr>
        <w:t xml:space="preserve"> 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</w:t>
      </w:r>
      <w:r w:rsidRPr="00655E8C">
        <w:rPr>
          <w:rFonts w:ascii="Times New Roman" w:hAnsi="Times New Roman"/>
        </w:rPr>
        <w:lastRenderedPageBreak/>
        <w:t>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lastRenderedPageBreak/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0517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1B0517">
        <w:rPr>
          <w:rFonts w:ascii="Times New Roman" w:hAnsi="Times New Roman"/>
        </w:rPr>
        <w:t xml:space="preserve"> 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>Бенецкого сельского Западнодвинского района Тверской области»</w:t>
      </w:r>
      <w:r w:rsidR="0000278C">
        <w:rPr>
          <w:rFonts w:ascii="Times New Roman" w:hAnsi="Times New Roman"/>
        </w:rPr>
        <w:t>.</w:t>
      </w:r>
      <w:r w:rsidRPr="00655E8C">
        <w:rPr>
          <w:rFonts w:ascii="Times New Roman" w:hAnsi="Times New Roman"/>
        </w:rPr>
        <w:t xml:space="preserve">    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1B0517">
        <w:rPr>
          <w:rFonts w:ascii="Times New Roman" w:hAnsi="Times New Roman"/>
        </w:rPr>
        <w:t>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 xml:space="preserve">Бенецкого сельского </w:t>
      </w:r>
      <w:r w:rsidR="006C01B5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области»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1B0517">
        <w:rPr>
          <w:rFonts w:ascii="Times New Roman" w:hAnsi="Times New Roman"/>
        </w:rPr>
        <w:t xml:space="preserve">Бенецкого сельского </w:t>
      </w:r>
      <w:r w:rsidR="00D01FF1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</w:t>
      </w:r>
      <w:r w:rsidR="00D01FF1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 w:rsidR="001B0517">
        <w:rPr>
          <w:rFonts w:ascii="Times New Roman" w:hAnsi="Times New Roman"/>
        </w:rPr>
        <w:t xml:space="preserve">Бенецкого сельского поселения Западнодвинского </w:t>
      </w:r>
      <w:r w:rsidR="001B0517">
        <w:rPr>
          <w:rFonts w:ascii="Times New Roman" w:hAnsi="Times New Roman"/>
        </w:rPr>
        <w:lastRenderedPageBreak/>
        <w:t>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 w:rsidR="001B0517"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021FE7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>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б</w:t>
      </w:r>
      <w:r w:rsidRPr="00655E8C">
        <w:rPr>
          <w:rFonts w:ascii="Times New Roman" w:hAnsi="Times New Roman"/>
        </w:rPr>
        <w:t>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0C52CC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21FD0"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к</w:t>
      </w:r>
      <w:r w:rsidRPr="000C52CC">
        <w:rPr>
          <w:rFonts w:ascii="Times New Roman" w:hAnsi="Times New Roman"/>
        </w:rPr>
        <w:t>оличество граждан, состоящих на воинском учете</w:t>
      </w:r>
      <w:r w:rsidR="00004590">
        <w:rPr>
          <w:rFonts w:ascii="Times New Roman" w:hAnsi="Times New Roman"/>
        </w:rPr>
        <w:t>;</w:t>
      </w:r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</w:t>
      </w:r>
      <w:r w:rsidR="00123C8F" w:rsidRPr="00655E8C">
        <w:rPr>
          <w:rFonts w:ascii="Times New Roman" w:hAnsi="Times New Roman"/>
        </w:rPr>
        <w:t>-</w:t>
      </w:r>
      <w:r w:rsidRPr="00655E8C">
        <w:rPr>
          <w:rFonts w:ascii="Times New Roman" w:hAnsi="Times New Roman"/>
        </w:rPr>
        <w:t xml:space="preserve"> администрации </w:t>
      </w:r>
      <w:r w:rsidR="00D01FF1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lastRenderedPageBreak/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FC7850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административное мероприятие «Организация контроля над содержанием дорог поселения»;</w:t>
      </w:r>
    </w:p>
    <w:p w:rsidR="00FC7850" w:rsidRPr="00655E8C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</w:t>
      </w:r>
      <w:r w:rsidRPr="00FC7850">
        <w:rPr>
          <w:rFonts w:ascii="Times New Roman" w:hAnsi="Times New Roman"/>
        </w:rPr>
        <w:t>оличество мероприятий, направленных на улучшение содержания дорог поселения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</w:t>
      </w:r>
      <w:r w:rsidR="00EE6BCE" w:rsidRPr="00655E8C">
        <w:rPr>
          <w:rFonts w:ascii="Times New Roman" w:hAnsi="Times New Roman"/>
        </w:rPr>
        <w:lastRenderedPageBreak/>
        <w:t>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0C52C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20425F" w:rsidRPr="00655E8C" w:rsidRDefault="0020425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</w:p>
    <w:p w:rsidR="00347580" w:rsidRDefault="00347580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3. Объем финансовых ресурсов,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30.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</w:t>
      </w:r>
      <w:r>
        <w:rPr>
          <w:rFonts w:ascii="Times New Roman" w:hAnsi="Times New Roman"/>
        </w:rPr>
        <w:t xml:space="preserve">й области ", составляет  </w:t>
      </w:r>
      <w:r w:rsidR="00EA7E61">
        <w:t xml:space="preserve">4647,2 </w:t>
      </w:r>
      <w:r w:rsidRPr="0051125C">
        <w:rPr>
          <w:rFonts w:ascii="Times New Roman" w:hAnsi="Times New Roman"/>
        </w:rPr>
        <w:t>тыс. руб.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D02CC5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095C1A" w:rsidRPr="0051125C">
        <w:rPr>
          <w:rFonts w:ascii="Times New Roman" w:hAnsi="Times New Roman"/>
        </w:rPr>
        <w:t xml:space="preserve">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="00095C1A" w:rsidRPr="0051125C">
          <w:rPr>
            <w:rFonts w:ascii="Times New Roman" w:hAnsi="Times New Roman"/>
            <w:color w:val="000000"/>
          </w:rPr>
          <w:t>таблице</w:t>
        </w:r>
      </w:hyperlink>
      <w:r w:rsidR="00095C1A" w:rsidRPr="0051125C">
        <w:rPr>
          <w:rFonts w:ascii="Times New Roman" w:hAnsi="Times New Roman"/>
          <w:color w:val="000000"/>
        </w:rPr>
        <w:t xml:space="preserve"> 1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3" w:name="Par611"/>
      <w:bookmarkEnd w:id="13"/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1125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992"/>
        <w:gridCol w:w="851"/>
        <w:gridCol w:w="850"/>
        <w:gridCol w:w="993"/>
        <w:gridCol w:w="992"/>
        <w:gridCol w:w="992"/>
        <w:gridCol w:w="1276"/>
      </w:tblGrid>
      <w:tr w:rsidR="00FF5629" w:rsidRPr="0051125C" w:rsidTr="001D535D">
        <w:trPr>
          <w:trHeight w:val="638"/>
        </w:trPr>
        <w:tc>
          <w:tcPr>
            <w:tcW w:w="3085" w:type="dxa"/>
            <w:vMerge w:val="restart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Задачи программы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Всего,                           тыс. руб.</w:t>
            </w:r>
          </w:p>
        </w:tc>
      </w:tr>
      <w:tr w:rsidR="00FF5629" w:rsidRPr="0051125C" w:rsidTr="001D535D">
        <w:tc>
          <w:tcPr>
            <w:tcW w:w="3085" w:type="dxa"/>
            <w:vMerge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2018г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2019г</w:t>
            </w:r>
          </w:p>
        </w:tc>
        <w:tc>
          <w:tcPr>
            <w:tcW w:w="850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2020г</w:t>
            </w:r>
          </w:p>
        </w:tc>
        <w:tc>
          <w:tcPr>
            <w:tcW w:w="993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2021 г</w:t>
            </w:r>
          </w:p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2022г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2023г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1</w:t>
            </w:r>
            <w:r w:rsidRPr="0051125C">
              <w:t xml:space="preserve"> Развитие кадрового потенциала администрации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ind w:hanging="188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2</w:t>
            </w:r>
            <w:r w:rsidRPr="0051125C"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3795,6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3</w:t>
            </w:r>
            <w:r w:rsidRPr="0051125C">
              <w:t xml:space="preserve">  Обеспечение деятельности по предупреждению</w:t>
            </w:r>
            <w:r>
              <w:t xml:space="preserve"> </w:t>
            </w:r>
            <w:r w:rsidRPr="0051125C">
              <w:t>и ликвидации чрезвычайных ситуаций и обеспечению пожарной безопасности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063C4F" w:rsidP="004D2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063C4F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205,3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4</w:t>
            </w:r>
            <w:r w:rsidRPr="0051125C">
              <w:t xml:space="preserve"> Улучшение условий для развития массового спорта и физкультурно-</w:t>
            </w:r>
            <w:r w:rsidRPr="0051125C">
              <w:lastRenderedPageBreak/>
              <w:t xml:space="preserve">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092DC1" w:rsidP="00092D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45,0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092D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92DC1">
              <w:t>95,0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lastRenderedPageBreak/>
              <w:t>Задача 5</w:t>
            </w:r>
            <w:r w:rsidRPr="0051125C">
              <w:t xml:space="preserve"> Улучшение социальной поддержки старшего поколения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6</w:t>
            </w:r>
            <w:r w:rsidRPr="0051125C"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</w:t>
            </w:r>
            <w:r w:rsidR="00062713">
              <w:t>6,75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72,75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1276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4</w:t>
            </w:r>
            <w:r w:rsidR="00062713">
              <w:t>51,3</w:t>
            </w:r>
          </w:p>
        </w:tc>
      </w:tr>
      <w:tr w:rsidR="00BB5E05" w:rsidRPr="00655E8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125C">
              <w:rPr>
                <w:b/>
              </w:rPr>
              <w:t>Итого,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jc w:val="center"/>
            </w:pPr>
            <w:r>
              <w:t>8</w:t>
            </w:r>
            <w:r w:rsidR="0042459F">
              <w:t>17</w:t>
            </w:r>
            <w:r w:rsidR="00A100F6">
              <w:t>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758,85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1276" w:type="dxa"/>
            <w:vAlign w:val="center"/>
          </w:tcPr>
          <w:p w:rsidR="00BB5E05" w:rsidRPr="00054898" w:rsidRDefault="00E261DD" w:rsidP="008373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8373D9">
              <w:t>47</w:t>
            </w:r>
            <w:r w:rsidR="00A100F6">
              <w:t>,2</w:t>
            </w:r>
          </w:p>
        </w:tc>
      </w:tr>
    </w:tbl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IV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095C1A" w:rsidRPr="008E7855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095C1A" w:rsidRPr="00655E8C" w:rsidRDefault="00D02CC5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095C1A" w:rsidRPr="00655E8C">
        <w:rPr>
          <w:rFonts w:ascii="Times New Roman" w:hAnsi="Times New Roman"/>
        </w:rPr>
        <w:t xml:space="preserve">. Общая сумма расходов на обеспечение деятельности администратора муниципальной программы – Администрация </w:t>
      </w:r>
      <w:r w:rsidR="00095C1A">
        <w:rPr>
          <w:rFonts w:ascii="Times New Roman" w:hAnsi="Times New Roman"/>
        </w:rPr>
        <w:t>Бенецкого сельского поселения</w:t>
      </w:r>
      <w:r w:rsidR="00095C1A"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 w:rsidR="0001649D">
        <w:t xml:space="preserve">7577,9 </w:t>
      </w:r>
      <w:r w:rsidR="00095C1A" w:rsidRPr="00655E8C">
        <w:rPr>
          <w:rFonts w:ascii="Times New Roman" w:hAnsi="Times New Roman"/>
        </w:rPr>
        <w:t>тыс. руб.</w:t>
      </w:r>
    </w:p>
    <w:p w:rsidR="00095C1A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3.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095C1A" w:rsidRPr="00655E8C" w:rsidRDefault="00095C1A" w:rsidP="00095C1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851"/>
        <w:gridCol w:w="850"/>
        <w:gridCol w:w="851"/>
        <w:gridCol w:w="992"/>
        <w:gridCol w:w="992"/>
        <w:gridCol w:w="993"/>
        <w:gridCol w:w="1519"/>
      </w:tblGrid>
      <w:tr w:rsidR="00FF5629" w:rsidRPr="00655E8C" w:rsidTr="00652A78">
        <w:trPr>
          <w:trHeight w:val="1101"/>
        </w:trPr>
        <w:tc>
          <w:tcPr>
            <w:tcW w:w="568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 xml:space="preserve">№ </w:t>
            </w:r>
            <w:proofErr w:type="spellStart"/>
            <w:proofErr w:type="gramStart"/>
            <w:r w:rsidRPr="00652A78">
              <w:t>п</w:t>
            </w:r>
            <w:proofErr w:type="spellEnd"/>
            <w:proofErr w:type="gramEnd"/>
            <w:r w:rsidRPr="00652A78">
              <w:t>/</w:t>
            </w:r>
            <w:proofErr w:type="spellStart"/>
            <w:r w:rsidRPr="00652A78"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Обеспечивающая подпрограмма</w:t>
            </w: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По годам реализации муниципальной программы, тыс. руб.</w:t>
            </w:r>
          </w:p>
        </w:tc>
        <w:tc>
          <w:tcPr>
            <w:tcW w:w="1519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 xml:space="preserve">Всего, </w:t>
            </w:r>
          </w:p>
          <w:p w:rsidR="00FF5629" w:rsidRPr="00652A78" w:rsidRDefault="00FF5629" w:rsidP="001D535D">
            <w:pPr>
              <w:jc w:val="center"/>
            </w:pPr>
            <w:r w:rsidRPr="00652A78">
              <w:t>тыс. руб.</w:t>
            </w:r>
          </w:p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398"/>
        </w:trPr>
        <w:tc>
          <w:tcPr>
            <w:tcW w:w="568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2018 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2019 г</w:t>
            </w:r>
          </w:p>
        </w:tc>
        <w:tc>
          <w:tcPr>
            <w:tcW w:w="851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2020 г</w:t>
            </w:r>
          </w:p>
        </w:tc>
        <w:tc>
          <w:tcPr>
            <w:tcW w:w="992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2022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2023 г.</w:t>
            </w:r>
          </w:p>
        </w:tc>
        <w:tc>
          <w:tcPr>
            <w:tcW w:w="1519" w:type="dxa"/>
            <w:tcBorders>
              <w:top w:val="nil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832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</w:t>
            </w:r>
          </w:p>
        </w:tc>
        <w:tc>
          <w:tcPr>
            <w:tcW w:w="2976" w:type="dxa"/>
          </w:tcPr>
          <w:p w:rsidR="00FF5629" w:rsidRPr="00652A78" w:rsidRDefault="00FF5629" w:rsidP="00652A78">
            <w:pPr>
              <w:autoSpaceDE w:val="0"/>
              <w:autoSpaceDN w:val="0"/>
              <w:adjustRightInd w:val="0"/>
            </w:pPr>
            <w:r w:rsidRPr="00652A78">
              <w:t xml:space="preserve">Обеспечение деятельности администратора муниципальной программы Администрация Бенецкого </w:t>
            </w:r>
            <w:r w:rsidRPr="00652A78">
              <w:lastRenderedPageBreak/>
              <w:t>сельског</w:t>
            </w:r>
            <w:r w:rsidR="00F26026">
              <w:t>о поселения</w:t>
            </w:r>
            <w:r w:rsidRPr="00652A78">
              <w:t xml:space="preserve">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2A78" w:rsidRDefault="00652A78" w:rsidP="00F60CA3">
            <w:pPr>
              <w:autoSpaceDE w:val="0"/>
              <w:autoSpaceDN w:val="0"/>
              <w:adjustRightInd w:val="0"/>
            </w:pPr>
          </w:p>
          <w:p w:rsidR="00F60CA3" w:rsidRPr="00652A78" w:rsidRDefault="00E73A8F" w:rsidP="00921A0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746D1">
              <w:t>95,9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851" w:type="dxa"/>
            <w:vAlign w:val="center"/>
          </w:tcPr>
          <w:p w:rsidR="00652A78" w:rsidRDefault="00652A78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60CA3" w:rsidP="00921A03">
            <w:pPr>
              <w:jc w:val="center"/>
            </w:pPr>
            <w:r>
              <w:t>7</w:t>
            </w:r>
            <w:r w:rsidR="008746D1">
              <w:t>577,9</w:t>
            </w:r>
          </w:p>
        </w:tc>
      </w:tr>
      <w:tr w:rsidR="00FF5629" w:rsidRPr="00655E8C" w:rsidTr="00652A78"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lastRenderedPageBreak/>
              <w:t>1.1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</w:t>
            </w:r>
            <w:r w:rsidR="0086442F">
              <w:t>05,0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1519" w:type="dxa"/>
            <w:vAlign w:val="center"/>
          </w:tcPr>
          <w:p w:rsidR="00FF5629" w:rsidRPr="00652A78" w:rsidRDefault="0086442F" w:rsidP="0086442F">
            <w:pPr>
              <w:autoSpaceDE w:val="0"/>
              <w:autoSpaceDN w:val="0"/>
              <w:adjustRightInd w:val="0"/>
              <w:jc w:val="center"/>
            </w:pPr>
            <w:r>
              <w:t>3226</w:t>
            </w:r>
            <w:r w:rsidR="00FF5629" w:rsidRPr="00652A78">
              <w:t>,</w:t>
            </w:r>
            <w:r>
              <w:t>0</w:t>
            </w:r>
          </w:p>
        </w:tc>
      </w:tr>
      <w:tr w:rsidR="00FF5629" w:rsidRPr="00655E8C" w:rsidTr="00AB29EF">
        <w:trPr>
          <w:trHeight w:val="1570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1.2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Расходы по центральному аппарату Администрации поселения  на выполнение муниципальных полномочий Западнодвинского района.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B29EF" w:rsidRDefault="00AB29EF" w:rsidP="00AB29EF">
            <w:pPr>
              <w:jc w:val="center"/>
            </w:pPr>
          </w:p>
          <w:p w:rsidR="00FF5629" w:rsidRPr="00652A78" w:rsidRDefault="00AD630E" w:rsidP="00AD630E">
            <w:pPr>
              <w:jc w:val="center"/>
            </w:pPr>
            <w:r>
              <w:t>8</w:t>
            </w:r>
            <w:r w:rsidR="00186FEF">
              <w:t>90,9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tabs>
                <w:tab w:val="center" w:pos="388"/>
              </w:tabs>
              <w:jc w:val="center"/>
            </w:pPr>
            <w:r w:rsidRPr="00652A78">
              <w:t>692,2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1519" w:type="dxa"/>
            <w:vAlign w:val="center"/>
          </w:tcPr>
          <w:p w:rsidR="00AB29EF" w:rsidRDefault="00AB29EF" w:rsidP="00AB29EF">
            <w:pPr>
              <w:autoSpaceDE w:val="0"/>
              <w:autoSpaceDN w:val="0"/>
              <w:adjustRightInd w:val="0"/>
              <w:jc w:val="center"/>
            </w:pPr>
          </w:p>
          <w:p w:rsidR="00D23535" w:rsidRPr="00652A78" w:rsidRDefault="00D23535" w:rsidP="00D23535">
            <w:pPr>
              <w:autoSpaceDE w:val="0"/>
              <w:autoSpaceDN w:val="0"/>
              <w:adjustRightInd w:val="0"/>
              <w:jc w:val="center"/>
            </w:pPr>
            <w:r>
              <w:t>4351,9</w:t>
            </w:r>
          </w:p>
        </w:tc>
      </w:tr>
    </w:tbl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605"/>
      <w:bookmarkEnd w:id="14"/>
    </w:p>
    <w:p w:rsidR="006A4C5D" w:rsidRPr="00655E8C" w:rsidRDefault="00095C1A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 w:rsidR="006A4C5D" w:rsidRPr="00655E8C">
        <w:rPr>
          <w:rFonts w:ascii="Times New Roman" w:hAnsi="Times New Roman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495A9E">
        <w:rPr>
          <w:rFonts w:ascii="Times New Roman" w:hAnsi="Times New Roman"/>
        </w:rPr>
        <w:t>Бенецкого</w:t>
      </w:r>
      <w:r w:rsidR="00151726">
        <w:rPr>
          <w:rFonts w:ascii="Times New Roman" w:hAnsi="Times New Roman"/>
        </w:rPr>
        <w:t xml:space="preserve"> 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 xml:space="preserve"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</w:t>
      </w:r>
      <w:r w:rsidR="00347580" w:rsidRPr="00655E8C">
        <w:rPr>
          <w:rFonts w:ascii="Times New Roman" w:hAnsi="Times New Roman"/>
        </w:rPr>
        <w:lastRenderedPageBreak/>
        <w:t>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1649D"/>
    <w:rsid w:val="00021FE7"/>
    <w:rsid w:val="0002348F"/>
    <w:rsid w:val="00024DCF"/>
    <w:rsid w:val="00030CE9"/>
    <w:rsid w:val="00051B2D"/>
    <w:rsid w:val="00054898"/>
    <w:rsid w:val="000612CA"/>
    <w:rsid w:val="00062713"/>
    <w:rsid w:val="00063C4F"/>
    <w:rsid w:val="00063DBE"/>
    <w:rsid w:val="000671E0"/>
    <w:rsid w:val="0007038E"/>
    <w:rsid w:val="00076D3E"/>
    <w:rsid w:val="00080852"/>
    <w:rsid w:val="000929D2"/>
    <w:rsid w:val="00092DC1"/>
    <w:rsid w:val="00095C1A"/>
    <w:rsid w:val="000A38F9"/>
    <w:rsid w:val="000A5115"/>
    <w:rsid w:val="000A70E2"/>
    <w:rsid w:val="000A7A16"/>
    <w:rsid w:val="000B24FF"/>
    <w:rsid w:val="000B4A6F"/>
    <w:rsid w:val="000B5A13"/>
    <w:rsid w:val="000C52CC"/>
    <w:rsid w:val="000C6F05"/>
    <w:rsid w:val="000D02BC"/>
    <w:rsid w:val="000D6C66"/>
    <w:rsid w:val="000D72E5"/>
    <w:rsid w:val="000E59A7"/>
    <w:rsid w:val="000F7EAC"/>
    <w:rsid w:val="00104596"/>
    <w:rsid w:val="00105F4E"/>
    <w:rsid w:val="00113D83"/>
    <w:rsid w:val="00114BD8"/>
    <w:rsid w:val="001159C2"/>
    <w:rsid w:val="001167BF"/>
    <w:rsid w:val="00121FD0"/>
    <w:rsid w:val="00122B49"/>
    <w:rsid w:val="00123C8F"/>
    <w:rsid w:val="00133446"/>
    <w:rsid w:val="001350C9"/>
    <w:rsid w:val="00137C8E"/>
    <w:rsid w:val="00151726"/>
    <w:rsid w:val="00152A07"/>
    <w:rsid w:val="0015310A"/>
    <w:rsid w:val="00154F71"/>
    <w:rsid w:val="001615E4"/>
    <w:rsid w:val="00161915"/>
    <w:rsid w:val="00161E61"/>
    <w:rsid w:val="00161ECF"/>
    <w:rsid w:val="00162041"/>
    <w:rsid w:val="00171527"/>
    <w:rsid w:val="00172CA1"/>
    <w:rsid w:val="00173FD1"/>
    <w:rsid w:val="00180CDC"/>
    <w:rsid w:val="00182338"/>
    <w:rsid w:val="00182934"/>
    <w:rsid w:val="00186FEF"/>
    <w:rsid w:val="001920FF"/>
    <w:rsid w:val="00197B1A"/>
    <w:rsid w:val="001B0517"/>
    <w:rsid w:val="001C0B2D"/>
    <w:rsid w:val="001C4708"/>
    <w:rsid w:val="001C6E09"/>
    <w:rsid w:val="001D4C6A"/>
    <w:rsid w:val="001D535D"/>
    <w:rsid w:val="001D5EE5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3CC7"/>
    <w:rsid w:val="0020425F"/>
    <w:rsid w:val="002069C1"/>
    <w:rsid w:val="00212F2B"/>
    <w:rsid w:val="00213AAC"/>
    <w:rsid w:val="0021438C"/>
    <w:rsid w:val="00220258"/>
    <w:rsid w:val="00222517"/>
    <w:rsid w:val="002272F3"/>
    <w:rsid w:val="002308F9"/>
    <w:rsid w:val="002379AB"/>
    <w:rsid w:val="002423B2"/>
    <w:rsid w:val="002460E9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E0B06"/>
    <w:rsid w:val="002E4D4E"/>
    <w:rsid w:val="002F710D"/>
    <w:rsid w:val="003132C9"/>
    <w:rsid w:val="00316E1C"/>
    <w:rsid w:val="0032166E"/>
    <w:rsid w:val="00322A03"/>
    <w:rsid w:val="0032615C"/>
    <w:rsid w:val="0032633F"/>
    <w:rsid w:val="00331393"/>
    <w:rsid w:val="00331D55"/>
    <w:rsid w:val="0033299A"/>
    <w:rsid w:val="00332DD0"/>
    <w:rsid w:val="0033676B"/>
    <w:rsid w:val="00347580"/>
    <w:rsid w:val="00361720"/>
    <w:rsid w:val="00362B7E"/>
    <w:rsid w:val="00363531"/>
    <w:rsid w:val="00365B74"/>
    <w:rsid w:val="00366B45"/>
    <w:rsid w:val="00367385"/>
    <w:rsid w:val="003679A3"/>
    <w:rsid w:val="00371745"/>
    <w:rsid w:val="003729D5"/>
    <w:rsid w:val="003747B4"/>
    <w:rsid w:val="00374BEE"/>
    <w:rsid w:val="00381822"/>
    <w:rsid w:val="00392BF7"/>
    <w:rsid w:val="003942C5"/>
    <w:rsid w:val="003973BE"/>
    <w:rsid w:val="003B0EB7"/>
    <w:rsid w:val="003B4381"/>
    <w:rsid w:val="003B4481"/>
    <w:rsid w:val="003C659F"/>
    <w:rsid w:val="003E0A46"/>
    <w:rsid w:val="003E11C4"/>
    <w:rsid w:val="003E3C11"/>
    <w:rsid w:val="003E5877"/>
    <w:rsid w:val="003E6FCF"/>
    <w:rsid w:val="003E7826"/>
    <w:rsid w:val="003F0763"/>
    <w:rsid w:val="003F1EF5"/>
    <w:rsid w:val="003F2A9A"/>
    <w:rsid w:val="003F3828"/>
    <w:rsid w:val="003F683B"/>
    <w:rsid w:val="00416B87"/>
    <w:rsid w:val="0042061D"/>
    <w:rsid w:val="0042459F"/>
    <w:rsid w:val="00430177"/>
    <w:rsid w:val="0043171F"/>
    <w:rsid w:val="004363CF"/>
    <w:rsid w:val="00437713"/>
    <w:rsid w:val="00437ED7"/>
    <w:rsid w:val="00443083"/>
    <w:rsid w:val="0044539D"/>
    <w:rsid w:val="00446905"/>
    <w:rsid w:val="00446BD9"/>
    <w:rsid w:val="0045027C"/>
    <w:rsid w:val="004503DA"/>
    <w:rsid w:val="00451239"/>
    <w:rsid w:val="004519E1"/>
    <w:rsid w:val="0045466F"/>
    <w:rsid w:val="004615F4"/>
    <w:rsid w:val="0046277B"/>
    <w:rsid w:val="004664F0"/>
    <w:rsid w:val="00470003"/>
    <w:rsid w:val="00470062"/>
    <w:rsid w:val="00474927"/>
    <w:rsid w:val="0047497C"/>
    <w:rsid w:val="0047535D"/>
    <w:rsid w:val="004770F9"/>
    <w:rsid w:val="00480EAE"/>
    <w:rsid w:val="004816C2"/>
    <w:rsid w:val="00485DCF"/>
    <w:rsid w:val="004908E9"/>
    <w:rsid w:val="0049091A"/>
    <w:rsid w:val="0049116A"/>
    <w:rsid w:val="00495A9E"/>
    <w:rsid w:val="004A2423"/>
    <w:rsid w:val="004A25C0"/>
    <w:rsid w:val="004B034D"/>
    <w:rsid w:val="004B54A2"/>
    <w:rsid w:val="004B6756"/>
    <w:rsid w:val="004C71E3"/>
    <w:rsid w:val="004D0F8D"/>
    <w:rsid w:val="004D26E4"/>
    <w:rsid w:val="004D59C7"/>
    <w:rsid w:val="004F1161"/>
    <w:rsid w:val="00500A0D"/>
    <w:rsid w:val="00501A58"/>
    <w:rsid w:val="00503B6A"/>
    <w:rsid w:val="00505D66"/>
    <w:rsid w:val="00516CE7"/>
    <w:rsid w:val="00520027"/>
    <w:rsid w:val="00520EBA"/>
    <w:rsid w:val="005263E1"/>
    <w:rsid w:val="005307DD"/>
    <w:rsid w:val="0054435E"/>
    <w:rsid w:val="00556789"/>
    <w:rsid w:val="005570CD"/>
    <w:rsid w:val="0056360D"/>
    <w:rsid w:val="0056783E"/>
    <w:rsid w:val="00597451"/>
    <w:rsid w:val="005A058A"/>
    <w:rsid w:val="005A0EF2"/>
    <w:rsid w:val="005A49E5"/>
    <w:rsid w:val="005A718A"/>
    <w:rsid w:val="005B7DF9"/>
    <w:rsid w:val="005C4CF0"/>
    <w:rsid w:val="005D18F3"/>
    <w:rsid w:val="005D7F0C"/>
    <w:rsid w:val="005E273E"/>
    <w:rsid w:val="005E2C24"/>
    <w:rsid w:val="005E2C41"/>
    <w:rsid w:val="005E7AEE"/>
    <w:rsid w:val="005F347E"/>
    <w:rsid w:val="005F458A"/>
    <w:rsid w:val="00604B8E"/>
    <w:rsid w:val="00611CC2"/>
    <w:rsid w:val="00615FE6"/>
    <w:rsid w:val="0062770A"/>
    <w:rsid w:val="00641574"/>
    <w:rsid w:val="00645F1D"/>
    <w:rsid w:val="006470FF"/>
    <w:rsid w:val="00647240"/>
    <w:rsid w:val="00652A78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A2725"/>
    <w:rsid w:val="006A498E"/>
    <w:rsid w:val="006A4C5D"/>
    <w:rsid w:val="006B623C"/>
    <w:rsid w:val="006C01B5"/>
    <w:rsid w:val="006C3102"/>
    <w:rsid w:val="006C49DC"/>
    <w:rsid w:val="006C676F"/>
    <w:rsid w:val="006C770F"/>
    <w:rsid w:val="006D0D6D"/>
    <w:rsid w:val="006D42E0"/>
    <w:rsid w:val="006E1FA1"/>
    <w:rsid w:val="006F02B6"/>
    <w:rsid w:val="007070CF"/>
    <w:rsid w:val="007105D3"/>
    <w:rsid w:val="00725C0A"/>
    <w:rsid w:val="007321DB"/>
    <w:rsid w:val="00737101"/>
    <w:rsid w:val="0073766C"/>
    <w:rsid w:val="00744C01"/>
    <w:rsid w:val="007452AF"/>
    <w:rsid w:val="007547FB"/>
    <w:rsid w:val="007609AA"/>
    <w:rsid w:val="00761EC2"/>
    <w:rsid w:val="00761F62"/>
    <w:rsid w:val="00766E9C"/>
    <w:rsid w:val="00782721"/>
    <w:rsid w:val="00784E23"/>
    <w:rsid w:val="00792B07"/>
    <w:rsid w:val="007A00E0"/>
    <w:rsid w:val="007C7111"/>
    <w:rsid w:val="007D50E2"/>
    <w:rsid w:val="007E1941"/>
    <w:rsid w:val="007F4764"/>
    <w:rsid w:val="007F5722"/>
    <w:rsid w:val="007F638A"/>
    <w:rsid w:val="007F7797"/>
    <w:rsid w:val="00804CA0"/>
    <w:rsid w:val="00811CC5"/>
    <w:rsid w:val="00812E9B"/>
    <w:rsid w:val="00815569"/>
    <w:rsid w:val="008200B2"/>
    <w:rsid w:val="008204AF"/>
    <w:rsid w:val="00830F4E"/>
    <w:rsid w:val="00835D35"/>
    <w:rsid w:val="008373D9"/>
    <w:rsid w:val="00840886"/>
    <w:rsid w:val="00856172"/>
    <w:rsid w:val="0085633F"/>
    <w:rsid w:val="0086016D"/>
    <w:rsid w:val="0086442F"/>
    <w:rsid w:val="00867416"/>
    <w:rsid w:val="00872A9E"/>
    <w:rsid w:val="008746D1"/>
    <w:rsid w:val="00886D36"/>
    <w:rsid w:val="008911CC"/>
    <w:rsid w:val="008B0AC0"/>
    <w:rsid w:val="008B0CFC"/>
    <w:rsid w:val="008B1751"/>
    <w:rsid w:val="008B52F4"/>
    <w:rsid w:val="008B599D"/>
    <w:rsid w:val="008B5A0E"/>
    <w:rsid w:val="008C1997"/>
    <w:rsid w:val="008C5203"/>
    <w:rsid w:val="008D3491"/>
    <w:rsid w:val="008F51B8"/>
    <w:rsid w:val="00900121"/>
    <w:rsid w:val="00910C78"/>
    <w:rsid w:val="0091217E"/>
    <w:rsid w:val="00921A03"/>
    <w:rsid w:val="00921F8A"/>
    <w:rsid w:val="00923CF5"/>
    <w:rsid w:val="009315E5"/>
    <w:rsid w:val="00937501"/>
    <w:rsid w:val="009402CA"/>
    <w:rsid w:val="0094059F"/>
    <w:rsid w:val="00940E6C"/>
    <w:rsid w:val="00941A30"/>
    <w:rsid w:val="0094520D"/>
    <w:rsid w:val="00950897"/>
    <w:rsid w:val="00952297"/>
    <w:rsid w:val="009539FD"/>
    <w:rsid w:val="0095441D"/>
    <w:rsid w:val="0095768E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132C"/>
    <w:rsid w:val="009F3ECC"/>
    <w:rsid w:val="009F764E"/>
    <w:rsid w:val="00A05A0B"/>
    <w:rsid w:val="00A06570"/>
    <w:rsid w:val="00A07116"/>
    <w:rsid w:val="00A075B0"/>
    <w:rsid w:val="00A100F6"/>
    <w:rsid w:val="00A16C16"/>
    <w:rsid w:val="00A274F9"/>
    <w:rsid w:val="00A30491"/>
    <w:rsid w:val="00A3273A"/>
    <w:rsid w:val="00A461FD"/>
    <w:rsid w:val="00A476BF"/>
    <w:rsid w:val="00A51AD3"/>
    <w:rsid w:val="00A52BC3"/>
    <w:rsid w:val="00A63922"/>
    <w:rsid w:val="00A642C0"/>
    <w:rsid w:val="00A67FC7"/>
    <w:rsid w:val="00A7036C"/>
    <w:rsid w:val="00A74247"/>
    <w:rsid w:val="00A75592"/>
    <w:rsid w:val="00A76863"/>
    <w:rsid w:val="00A77536"/>
    <w:rsid w:val="00A83F8D"/>
    <w:rsid w:val="00A86552"/>
    <w:rsid w:val="00A9361E"/>
    <w:rsid w:val="00A93871"/>
    <w:rsid w:val="00A94511"/>
    <w:rsid w:val="00A96541"/>
    <w:rsid w:val="00AB29EF"/>
    <w:rsid w:val="00AB4F1D"/>
    <w:rsid w:val="00AB5384"/>
    <w:rsid w:val="00AB558C"/>
    <w:rsid w:val="00AC0113"/>
    <w:rsid w:val="00AC1E97"/>
    <w:rsid w:val="00AC34AD"/>
    <w:rsid w:val="00AD3590"/>
    <w:rsid w:val="00AD630E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1583"/>
    <w:rsid w:val="00B133E7"/>
    <w:rsid w:val="00B13B0E"/>
    <w:rsid w:val="00B2380E"/>
    <w:rsid w:val="00B23F22"/>
    <w:rsid w:val="00B3595D"/>
    <w:rsid w:val="00B3742F"/>
    <w:rsid w:val="00B50960"/>
    <w:rsid w:val="00B51C84"/>
    <w:rsid w:val="00B542CF"/>
    <w:rsid w:val="00B54F26"/>
    <w:rsid w:val="00B64115"/>
    <w:rsid w:val="00B64BA3"/>
    <w:rsid w:val="00B658BD"/>
    <w:rsid w:val="00B71899"/>
    <w:rsid w:val="00B72047"/>
    <w:rsid w:val="00B72829"/>
    <w:rsid w:val="00B72B61"/>
    <w:rsid w:val="00B77D4B"/>
    <w:rsid w:val="00B8636C"/>
    <w:rsid w:val="00B96DC4"/>
    <w:rsid w:val="00BA304B"/>
    <w:rsid w:val="00BB23AB"/>
    <w:rsid w:val="00BB5E05"/>
    <w:rsid w:val="00BC060C"/>
    <w:rsid w:val="00BC0848"/>
    <w:rsid w:val="00BC19A4"/>
    <w:rsid w:val="00BD5958"/>
    <w:rsid w:val="00BD7E71"/>
    <w:rsid w:val="00BE7792"/>
    <w:rsid w:val="00BF07EC"/>
    <w:rsid w:val="00C03AB3"/>
    <w:rsid w:val="00C0523B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14FB"/>
    <w:rsid w:val="00C85E21"/>
    <w:rsid w:val="00C8771E"/>
    <w:rsid w:val="00C959ED"/>
    <w:rsid w:val="00CA1A31"/>
    <w:rsid w:val="00CA3E45"/>
    <w:rsid w:val="00CB0002"/>
    <w:rsid w:val="00CB43A8"/>
    <w:rsid w:val="00CC0557"/>
    <w:rsid w:val="00CC12B0"/>
    <w:rsid w:val="00CD6C9A"/>
    <w:rsid w:val="00CE2120"/>
    <w:rsid w:val="00CE3467"/>
    <w:rsid w:val="00CE5747"/>
    <w:rsid w:val="00CF4BC4"/>
    <w:rsid w:val="00CF6B64"/>
    <w:rsid w:val="00CF70A3"/>
    <w:rsid w:val="00D01FF1"/>
    <w:rsid w:val="00D02CC5"/>
    <w:rsid w:val="00D12A24"/>
    <w:rsid w:val="00D23535"/>
    <w:rsid w:val="00D25A61"/>
    <w:rsid w:val="00D31CE0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1822"/>
    <w:rsid w:val="00D85B43"/>
    <w:rsid w:val="00D90BF9"/>
    <w:rsid w:val="00D97996"/>
    <w:rsid w:val="00DA0BCE"/>
    <w:rsid w:val="00DA1156"/>
    <w:rsid w:val="00DA6C4D"/>
    <w:rsid w:val="00DB185D"/>
    <w:rsid w:val="00DB1A38"/>
    <w:rsid w:val="00DC40AD"/>
    <w:rsid w:val="00DC5ACD"/>
    <w:rsid w:val="00DD19F7"/>
    <w:rsid w:val="00DD5AE4"/>
    <w:rsid w:val="00DD6A16"/>
    <w:rsid w:val="00DE03B3"/>
    <w:rsid w:val="00DE5AC3"/>
    <w:rsid w:val="00E006F3"/>
    <w:rsid w:val="00E0283B"/>
    <w:rsid w:val="00E028C5"/>
    <w:rsid w:val="00E030CC"/>
    <w:rsid w:val="00E0390D"/>
    <w:rsid w:val="00E133D5"/>
    <w:rsid w:val="00E170C6"/>
    <w:rsid w:val="00E25386"/>
    <w:rsid w:val="00E26025"/>
    <w:rsid w:val="00E261DD"/>
    <w:rsid w:val="00E363D3"/>
    <w:rsid w:val="00E37888"/>
    <w:rsid w:val="00E50D3C"/>
    <w:rsid w:val="00E52951"/>
    <w:rsid w:val="00E60C08"/>
    <w:rsid w:val="00E61222"/>
    <w:rsid w:val="00E61D20"/>
    <w:rsid w:val="00E6234E"/>
    <w:rsid w:val="00E63AB8"/>
    <w:rsid w:val="00E67D5C"/>
    <w:rsid w:val="00E7003A"/>
    <w:rsid w:val="00E70792"/>
    <w:rsid w:val="00E73A8F"/>
    <w:rsid w:val="00E804F8"/>
    <w:rsid w:val="00E8537D"/>
    <w:rsid w:val="00E87B99"/>
    <w:rsid w:val="00E923D8"/>
    <w:rsid w:val="00E96A85"/>
    <w:rsid w:val="00EA2DA2"/>
    <w:rsid w:val="00EA7E61"/>
    <w:rsid w:val="00EB19F9"/>
    <w:rsid w:val="00EC3AE2"/>
    <w:rsid w:val="00EC54F7"/>
    <w:rsid w:val="00EE681E"/>
    <w:rsid w:val="00EE6BCE"/>
    <w:rsid w:val="00EF18E0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25F4C"/>
    <w:rsid w:val="00F26026"/>
    <w:rsid w:val="00F37BA5"/>
    <w:rsid w:val="00F45E08"/>
    <w:rsid w:val="00F4640A"/>
    <w:rsid w:val="00F509C6"/>
    <w:rsid w:val="00F543F6"/>
    <w:rsid w:val="00F55533"/>
    <w:rsid w:val="00F60CA3"/>
    <w:rsid w:val="00F75876"/>
    <w:rsid w:val="00F82730"/>
    <w:rsid w:val="00F8529E"/>
    <w:rsid w:val="00F86F8D"/>
    <w:rsid w:val="00F90B18"/>
    <w:rsid w:val="00F96314"/>
    <w:rsid w:val="00FB016D"/>
    <w:rsid w:val="00FB59A4"/>
    <w:rsid w:val="00FC7850"/>
    <w:rsid w:val="00FC7BA7"/>
    <w:rsid w:val="00FD5CD1"/>
    <w:rsid w:val="00FE140E"/>
    <w:rsid w:val="00FE1545"/>
    <w:rsid w:val="00FE27F9"/>
    <w:rsid w:val="00FF06FE"/>
    <w:rsid w:val="00FF206B"/>
    <w:rsid w:val="00FF20ED"/>
    <w:rsid w:val="00FF2F89"/>
    <w:rsid w:val="00FF472D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DFF-2DEF-412D-B1B8-B94E59A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14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354</cp:revision>
  <cp:lastPrinted>2017-11-16T12:26:00Z</cp:lastPrinted>
  <dcterms:created xsi:type="dcterms:W3CDTF">2013-10-04T06:02:00Z</dcterms:created>
  <dcterms:modified xsi:type="dcterms:W3CDTF">2018-11-15T12:05:00Z</dcterms:modified>
</cp:coreProperties>
</file>