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7F" w:rsidRDefault="00A7287F" w:rsidP="00805E8F">
      <w:pPr>
        <w:jc w:val="center"/>
        <w:rPr>
          <w:rFonts w:ascii="Times New Roman" w:hAnsi="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Pr="00A7287F" w:rsidRDefault="00A7287F" w:rsidP="00A7287F">
      <w:pPr>
        <w:spacing w:after="0"/>
        <w:jc w:val="center"/>
        <w:rPr>
          <w:rFonts w:ascii="Times New Roman" w:hAnsi="Times New Roman" w:cs="Times New Roman"/>
          <w:b/>
          <w:sz w:val="32"/>
          <w:szCs w:val="32"/>
        </w:rPr>
      </w:pPr>
    </w:p>
    <w:p w:rsidR="00A7287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Муниципальная программа</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Бенецкого сельского поселения Западнодвинского района Тверской области</w:t>
      </w:r>
    </w:p>
    <w:p w:rsidR="00805E8F" w:rsidRPr="00A7287F" w:rsidRDefault="00805E8F" w:rsidP="00805E8F">
      <w:pPr>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«Развитие жилищно-коммунального хозяйства в Бенецком сельском поселении Западнодвинского района Тверской области»</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на 201</w:t>
      </w:r>
      <w:r w:rsidR="00A7287F">
        <w:rPr>
          <w:rFonts w:ascii="Times New Roman" w:hAnsi="Times New Roman" w:cs="Times New Roman"/>
          <w:b/>
          <w:sz w:val="28"/>
          <w:szCs w:val="28"/>
        </w:rPr>
        <w:t>8</w:t>
      </w:r>
      <w:r w:rsidRPr="00A7287F">
        <w:rPr>
          <w:rFonts w:ascii="Times New Roman" w:hAnsi="Times New Roman" w:cs="Times New Roman"/>
          <w:b/>
          <w:sz w:val="28"/>
          <w:szCs w:val="28"/>
        </w:rPr>
        <w:t>-20</w:t>
      </w:r>
      <w:r w:rsidR="00A7287F">
        <w:rPr>
          <w:rFonts w:ascii="Times New Roman" w:hAnsi="Times New Roman" w:cs="Times New Roman"/>
          <w:b/>
          <w:sz w:val="28"/>
          <w:szCs w:val="28"/>
        </w:rPr>
        <w:t>23</w:t>
      </w:r>
      <w:r w:rsidRPr="00A7287F">
        <w:rPr>
          <w:rFonts w:ascii="Times New Roman" w:hAnsi="Times New Roman" w:cs="Times New Roman"/>
          <w:b/>
          <w:sz w:val="28"/>
          <w:szCs w:val="28"/>
        </w:rPr>
        <w:t xml:space="preserve"> годы.</w:t>
      </w:r>
    </w:p>
    <w:p w:rsidR="00805E8F" w:rsidRPr="00A7287F" w:rsidRDefault="00805E8F" w:rsidP="00805E8F">
      <w:pPr>
        <w:rPr>
          <w:rFonts w:ascii="Calibri" w:hAnsi="Calibri"/>
          <w:sz w:val="28"/>
          <w:szCs w:val="28"/>
        </w:rPr>
      </w:pPr>
    </w:p>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A7287F" w:rsidRDefault="00A7287F" w:rsidP="00805E8F"/>
    <w:p w:rsidR="001C03C4" w:rsidRDefault="001C03C4" w:rsidP="00805E8F">
      <w:pPr>
        <w:jc w:val="center"/>
        <w:rPr>
          <w:rFonts w:ascii="Times New Roman" w:hAnsi="Times New Roman"/>
          <w:u w:val="single"/>
        </w:rPr>
      </w:pPr>
    </w:p>
    <w:p w:rsidR="00805E8F" w:rsidRDefault="00805E8F" w:rsidP="00805E8F">
      <w:pPr>
        <w:jc w:val="center"/>
        <w:rPr>
          <w:rFonts w:ascii="Times New Roman" w:hAnsi="Times New Roman"/>
          <w:u w:val="single"/>
        </w:rPr>
      </w:pPr>
      <w:proofErr w:type="spellStart"/>
      <w:r>
        <w:rPr>
          <w:rFonts w:ascii="Times New Roman" w:hAnsi="Times New Roman"/>
          <w:u w:val="single"/>
        </w:rPr>
        <w:t>д</w:t>
      </w:r>
      <w:proofErr w:type="gramStart"/>
      <w:r>
        <w:rPr>
          <w:rFonts w:ascii="Times New Roman" w:hAnsi="Times New Roman"/>
          <w:u w:val="single"/>
        </w:rPr>
        <w:t>.Б</w:t>
      </w:r>
      <w:proofErr w:type="gramEnd"/>
      <w:r>
        <w:rPr>
          <w:rFonts w:ascii="Times New Roman" w:hAnsi="Times New Roman"/>
          <w:u w:val="single"/>
        </w:rPr>
        <w:t>енцы</w:t>
      </w:r>
      <w:proofErr w:type="spellEnd"/>
    </w:p>
    <w:p w:rsidR="003140C1" w:rsidRPr="00A7287F" w:rsidRDefault="00805E8F" w:rsidP="00A7287F">
      <w:pPr>
        <w:jc w:val="center"/>
        <w:rPr>
          <w:rFonts w:ascii="Times New Roman" w:hAnsi="Times New Roman"/>
        </w:rPr>
      </w:pPr>
      <w:r>
        <w:rPr>
          <w:rFonts w:ascii="Times New Roman" w:hAnsi="Times New Roman"/>
        </w:rPr>
        <w:t>201</w:t>
      </w:r>
      <w:r w:rsidR="00A7287F">
        <w:rPr>
          <w:rFonts w:ascii="Times New Roman" w:hAnsi="Times New Roman"/>
        </w:rPr>
        <w:t>8</w:t>
      </w:r>
      <w:r>
        <w:rPr>
          <w:rFonts w:ascii="Times New Roman" w:hAnsi="Times New Roman"/>
        </w:rPr>
        <w:t xml:space="preserve"> </w:t>
      </w:r>
      <w:r w:rsidR="00A7287F">
        <w:rPr>
          <w:rFonts w:ascii="Times New Roman" w:hAnsi="Times New Roman"/>
        </w:rPr>
        <w:t>год</w:t>
      </w: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14570D">
        <w:rPr>
          <w:rFonts w:ascii="Times New Roman" w:hAnsi="Times New Roman" w:cs="Times New Roman"/>
        </w:rPr>
        <w:t>Бенецкого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86C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14570D">
              <w:rPr>
                <w:rFonts w:ascii="Times New Roman" w:hAnsi="Times New Roman" w:cs="Times New Roman"/>
              </w:rPr>
              <w:t>Бенецко</w:t>
            </w:r>
            <w:r w:rsidR="003140C1">
              <w:rPr>
                <w:rFonts w:ascii="Times New Roman" w:hAnsi="Times New Roman" w:cs="Times New Roman"/>
              </w:rPr>
              <w:t>м</w:t>
            </w:r>
            <w:r w:rsidR="0082480C">
              <w:rPr>
                <w:rFonts w:ascii="Times New Roman" w:hAnsi="Times New Roman" w:cs="Times New Roman"/>
              </w:rPr>
              <w:t xml:space="preserve"> сельско</w:t>
            </w:r>
            <w:r w:rsidR="00286C99">
              <w:rPr>
                <w:rFonts w:ascii="Times New Roman" w:hAnsi="Times New Roman" w:cs="Times New Roman"/>
              </w:rPr>
              <w:t>м</w:t>
            </w:r>
            <w:r w:rsidR="0082480C">
              <w:rPr>
                <w:rFonts w:ascii="Times New Roman" w:hAnsi="Times New Roman" w:cs="Times New Roman"/>
              </w:rPr>
              <w:t xml:space="preserve"> поселени</w:t>
            </w:r>
            <w:r w:rsidR="00286C99">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1C03C4">
              <w:rPr>
                <w:rFonts w:ascii="Times New Roman" w:hAnsi="Times New Roman"/>
              </w:rPr>
              <w:t>364,8</w:t>
            </w:r>
            <w:r w:rsidRPr="005A0EF2">
              <w:rPr>
                <w:rFonts w:ascii="Times New Roman" w:hAnsi="Times New Roman"/>
              </w:rPr>
              <w:t xml:space="preserve"> тыс. руб., в том числе </w:t>
            </w:r>
            <w:r>
              <w:rPr>
                <w:rFonts w:ascii="Times New Roman" w:hAnsi="Times New Roman"/>
              </w:rPr>
              <w:t>308,8</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57B30">
              <w:rPr>
                <w:rFonts w:ascii="Times New Roman" w:hAnsi="Times New Roman"/>
              </w:rPr>
              <w:t>364,8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Бенецкого 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Улучшение жилищных условий населении  </w:t>
            </w:r>
            <w:proofErr w:type="gramStart"/>
            <w:r>
              <w:rPr>
                <w:rFonts w:ascii="Times New Roman" w:hAnsi="Times New Roman" w:cs="Times New Roman"/>
              </w:rPr>
              <w:t>с</w:t>
            </w:r>
            <w:proofErr w:type="gramEnd"/>
            <w:r>
              <w:rPr>
                <w:rFonts w:ascii="Times New Roman" w:hAnsi="Times New Roman" w:cs="Times New Roman"/>
              </w:rPr>
              <w:t xml:space="preserve">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951DCC">
              <w:rPr>
                <w:rFonts w:ascii="Times New Roman" w:hAnsi="Times New Roman"/>
              </w:rPr>
              <w:t>364,8</w:t>
            </w:r>
            <w:r w:rsidRPr="005A0EF2">
              <w:rPr>
                <w:rFonts w:ascii="Times New Roman" w:hAnsi="Times New Roman"/>
              </w:rPr>
              <w:t xml:space="preserve"> тыс. руб., в том числе </w:t>
            </w:r>
            <w:r w:rsidR="00C7300A">
              <w:rPr>
                <w:rFonts w:ascii="Times New Roman" w:hAnsi="Times New Roman"/>
              </w:rPr>
              <w:t>364,8</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68681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16616">
              <w:rPr>
                <w:rFonts w:ascii="Times New Roman" w:hAnsi="Times New Roman"/>
              </w:rPr>
              <w:t>329,8</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16616">
              <w:rPr>
                <w:rFonts w:ascii="Times New Roman" w:hAnsi="Times New Roman"/>
              </w:rPr>
              <w:t>35,0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0F1B3E">
        <w:rPr>
          <w:rFonts w:ascii="Times New Roman" w:hAnsi="Times New Roman" w:cs="Times New Roman"/>
        </w:rPr>
        <w:t>Бенецкого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w:t>
      </w:r>
      <w:r w:rsidR="0033208E" w:rsidRPr="0082480C">
        <w:rPr>
          <w:rFonts w:ascii="Times New Roman" w:hAnsi="Times New Roman" w:cs="Times New Roman"/>
        </w:rPr>
        <w:lastRenderedPageBreak/>
        <w:t xml:space="preserve">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00206DD0">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Pr="0082480C">
        <w:rPr>
          <w:rFonts w:ascii="Times New Roman" w:hAnsi="Times New Roman" w:cs="Times New Roman"/>
        </w:rPr>
        <w:t>,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lastRenderedPageBreak/>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капитальный ремон</w:t>
      </w:r>
      <w:r w:rsidR="001F385F">
        <w:rPr>
          <w:rFonts w:ascii="Times New Roman" w:hAnsi="Times New Roman" w:cs="Times New Roman"/>
        </w:rPr>
        <w:t>т</w:t>
      </w:r>
      <w:r w:rsidR="008B1804" w:rsidRPr="0082480C">
        <w:rPr>
          <w:rFonts w:ascii="Times New Roman" w:hAnsi="Times New Roman" w:cs="Times New Roman"/>
        </w:rPr>
        <w:t>.</w:t>
      </w:r>
    </w:p>
    <w:p w:rsidR="001F385F" w:rsidRPr="0082480C" w:rsidRDefault="001F385F" w:rsidP="00556A7D">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1F385F">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sidR="00746C86">
        <w:rPr>
          <w:rFonts w:ascii="Times New Roman" w:hAnsi="Times New Roman" w:cs="Times New Roman"/>
        </w:rPr>
        <w:t xml:space="preserve"> </w:t>
      </w:r>
      <w:r w:rsidRPr="00453858">
        <w:rPr>
          <w:rFonts w:ascii="Times New Roman" w:hAnsi="Times New Roman" w:cs="Times New Roman"/>
        </w:rPr>
        <w:t>(косметический)  ремонт.</w:t>
      </w: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B61A19" w:rsidRDefault="00D8674D" w:rsidP="00D8674D">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cs="Times New Roman"/>
        </w:rPr>
        <w:t xml:space="preserve">   </w:t>
      </w:r>
      <w:r>
        <w:rPr>
          <w:rFonts w:ascii="Times New Roman" w:hAnsi="Times New Roman"/>
        </w:rPr>
        <w:t>17</w:t>
      </w:r>
      <w:r w:rsidR="00B61A19" w:rsidRPr="0082480C">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1</w:t>
        </w:r>
      </w:hyperlink>
      <w:r w:rsidR="00B61A19" w:rsidRPr="0082480C">
        <w:rPr>
          <w:rFonts w:ascii="Times New Roman" w:hAnsi="Times New Roman"/>
        </w:rPr>
        <w:t xml:space="preserve"> к настоящей муниципальной программе.</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lastRenderedPageBreak/>
        <w:t>Таблица 1</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3"/>
        <w:gridCol w:w="834"/>
        <w:gridCol w:w="833"/>
        <w:gridCol w:w="851"/>
        <w:gridCol w:w="850"/>
        <w:gridCol w:w="819"/>
        <w:gridCol w:w="882"/>
        <w:gridCol w:w="1418"/>
      </w:tblGrid>
      <w:tr w:rsidR="00B61A19" w:rsidRPr="00314542" w:rsidTr="005364A8">
        <w:tc>
          <w:tcPr>
            <w:tcW w:w="3153"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069"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64A8" w:rsidRPr="00314542" w:rsidTr="005364A8">
        <w:tc>
          <w:tcPr>
            <w:tcW w:w="3153" w:type="dxa"/>
            <w:vMerge/>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c>
          <w:tcPr>
            <w:tcW w:w="834"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8 г</w:t>
            </w:r>
          </w:p>
        </w:tc>
        <w:tc>
          <w:tcPr>
            <w:tcW w:w="833" w:type="dxa"/>
            <w:tcBorders>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19"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2" w:type="dxa"/>
            <w:tcBorders>
              <w:top w:val="single" w:sz="4" w:space="0" w:color="auto"/>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34"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834" w:type="dxa"/>
            <w:tcBorders>
              <w:right w:val="single" w:sz="4" w:space="0" w:color="auto"/>
            </w:tcBorders>
            <w:vAlign w:val="center"/>
          </w:tcPr>
          <w:p w:rsidR="005364A8" w:rsidRPr="00314542" w:rsidRDefault="005364A8" w:rsidP="004829BB">
            <w:pPr>
              <w:jc w:val="center"/>
            </w:pPr>
            <w:r w:rsidRPr="00314542">
              <w:t>0</w:t>
            </w:r>
            <w: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rsidP="00B61A19">
      <w:pPr>
        <w:widowControl w:val="0"/>
        <w:autoSpaceDE w:val="0"/>
        <w:autoSpaceDN w:val="0"/>
        <w:adjustRightInd w:val="0"/>
        <w:spacing w:after="0" w:line="240" w:lineRule="auto"/>
        <w:ind w:firstLine="540"/>
        <w:jc w:val="center"/>
        <w:rPr>
          <w:rFonts w:ascii="Times New Roman" w:hAnsi="Times New Roman"/>
        </w:rPr>
      </w:pPr>
    </w:p>
    <w:p w:rsidR="00B61A19" w:rsidRDefault="00B61A19" w:rsidP="00206DD0">
      <w:pPr>
        <w:widowControl w:val="0"/>
        <w:autoSpaceDE w:val="0"/>
        <w:autoSpaceDN w:val="0"/>
        <w:adjustRightInd w:val="0"/>
        <w:spacing w:after="0" w:line="240" w:lineRule="auto"/>
        <w:outlineLvl w:val="1"/>
        <w:rPr>
          <w:rFonts w:ascii="Times New Roman" w:hAnsi="Times New Roman" w:cs="Times New Roman"/>
        </w:rPr>
      </w:pP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rPr>
          <w:rFonts w:ascii="Times New Roman" w:hAnsi="Times New Roman"/>
          <w:sz w:val="2"/>
          <w:szCs w:val="2"/>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w:t>
      </w:r>
      <w:r w:rsidR="00B61A19" w:rsidRPr="0082480C">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за счет средств местного бюджета составляет </w:t>
      </w:r>
      <w:r w:rsidR="00B61A19">
        <w:rPr>
          <w:rFonts w:ascii="Times New Roman" w:hAnsi="Times New Roman"/>
        </w:rPr>
        <w:t>0,0</w:t>
      </w:r>
      <w:r w:rsidR="00B61A19" w:rsidRPr="0082480C">
        <w:rPr>
          <w:rFonts w:ascii="Times New Roman" w:hAnsi="Times New Roman"/>
        </w:rPr>
        <w:t xml:space="preserve"> 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w:t>
      </w:r>
      <w:r w:rsidR="00B61A19" w:rsidRPr="0082480C">
        <w:rPr>
          <w:rFonts w:ascii="Times New Roman" w:hAnsi="Times New Roman"/>
        </w:rPr>
        <w:t xml:space="preserve">.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00B61A19" w:rsidRPr="0082480C">
          <w:rPr>
            <w:rFonts w:ascii="Times New Roman" w:hAnsi="Times New Roman"/>
            <w:color w:val="0000FF"/>
          </w:rPr>
          <w:t>таблице 2</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673"/>
        <w:gridCol w:w="842"/>
        <w:gridCol w:w="851"/>
        <w:gridCol w:w="860"/>
        <w:gridCol w:w="841"/>
        <w:gridCol w:w="850"/>
        <w:gridCol w:w="851"/>
        <w:gridCol w:w="1276"/>
      </w:tblGrid>
      <w:tr w:rsidR="00B61A19" w:rsidRPr="00314542" w:rsidTr="000571DA">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67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95"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571DA" w:rsidRPr="00314542" w:rsidTr="000571DA">
        <w:tc>
          <w:tcPr>
            <w:tcW w:w="562"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842" w:type="dxa"/>
            <w:tcBorders>
              <w:right w:val="single" w:sz="4" w:space="0" w:color="auto"/>
            </w:tcBorders>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60"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41"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842" w:type="dxa"/>
            <w:tcBorders>
              <w:right w:val="single" w:sz="4" w:space="0" w:color="auto"/>
            </w:tcBorders>
            <w:vAlign w:val="center"/>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60"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41"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42" w:type="dxa"/>
            <w:tcBorders>
              <w:right w:val="single" w:sz="4" w:space="0" w:color="auto"/>
            </w:tcBorders>
            <w:vAlign w:val="bottom"/>
          </w:tcPr>
          <w:p w:rsidR="000571DA" w:rsidRPr="000571DA" w:rsidRDefault="000571DA" w:rsidP="000571DA">
            <w:pPr>
              <w:jc w:val="center"/>
            </w:pPr>
            <w:r w:rsidRPr="00314542">
              <w:rPr>
                <w:rFonts w:ascii="Times New Roman" w:hAnsi="Times New Roman"/>
              </w:rPr>
              <w:t>0</w:t>
            </w:r>
            <w:r>
              <w:rPr>
                <w:rFonts w:ascii="Times New Roman" w:hAnsi="Times New Roman"/>
              </w:rPr>
              <w:t>,0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860" w:type="dxa"/>
            <w:vAlign w:val="bottom"/>
          </w:tcPr>
          <w:p w:rsidR="000571DA" w:rsidRDefault="000571DA" w:rsidP="000571DA">
            <w:pPr>
              <w:jc w:val="center"/>
            </w:pPr>
            <w:r w:rsidRPr="00B61305">
              <w:rPr>
                <w:rFonts w:ascii="Times New Roman" w:hAnsi="Times New Roman"/>
              </w:rPr>
              <w:t>0,0</w:t>
            </w:r>
          </w:p>
        </w:tc>
        <w:tc>
          <w:tcPr>
            <w:tcW w:w="841" w:type="dxa"/>
            <w:vAlign w:val="bottom"/>
          </w:tcPr>
          <w:p w:rsidR="000571DA" w:rsidRDefault="000571DA" w:rsidP="000571DA">
            <w:pPr>
              <w:jc w:val="center"/>
            </w:pPr>
            <w:r w:rsidRPr="00B61305">
              <w:rPr>
                <w:rFonts w:ascii="Times New Roman" w:hAnsi="Times New Roman"/>
              </w:rPr>
              <w:t>0,0</w:t>
            </w:r>
          </w:p>
        </w:tc>
        <w:tc>
          <w:tcPr>
            <w:tcW w:w="850" w:type="dxa"/>
            <w:tcBorders>
              <w:right w:val="single" w:sz="4" w:space="0" w:color="auto"/>
            </w:tcBorders>
            <w:vAlign w:val="bottom"/>
          </w:tcPr>
          <w:p w:rsidR="000571DA" w:rsidRDefault="000571DA" w:rsidP="000571DA">
            <w:pPr>
              <w:jc w:val="center"/>
            </w:pPr>
            <w:r w:rsidRPr="00B61305">
              <w:rPr>
                <w:rFonts w:ascii="Times New Roman" w:hAnsi="Times New Roman"/>
              </w:rPr>
              <w:t>0,0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1276" w:type="dxa"/>
            <w:vAlign w:val="bottom"/>
          </w:tcPr>
          <w:p w:rsidR="000571DA" w:rsidRDefault="000571DA" w:rsidP="000571DA">
            <w:pPr>
              <w:jc w:val="center"/>
            </w:pPr>
            <w:r w:rsidRPr="00B61305">
              <w:rPr>
                <w:rFonts w:ascii="Times New Roman" w:hAnsi="Times New Roman"/>
              </w:rPr>
              <w:t>0,0</w:t>
            </w:r>
          </w:p>
        </w:tc>
      </w:tr>
    </w:tbl>
    <w:p w:rsidR="00B61A19" w:rsidRDefault="00B61A19" w:rsidP="00B61A19">
      <w:pPr>
        <w:widowControl w:val="0"/>
        <w:autoSpaceDE w:val="0"/>
        <w:autoSpaceDN w:val="0"/>
        <w:adjustRightInd w:val="0"/>
        <w:spacing w:after="0" w:line="240" w:lineRule="auto"/>
        <w:outlineLvl w:val="1"/>
        <w:rPr>
          <w:rFonts w:ascii="Times New Roman" w:hAnsi="Times New Roman"/>
        </w:rPr>
      </w:pPr>
    </w:p>
    <w:p w:rsidR="0033208E" w:rsidRPr="0082480C" w:rsidRDefault="007A0EB7">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w:t>
      </w:r>
      <w:r w:rsidR="00746C86">
        <w:rPr>
          <w:rFonts w:ascii="Times New Roman" w:hAnsi="Times New Roman" w:cs="Times New Roman"/>
        </w:rPr>
        <w:t>бъектах коммунального хозяйства;</w:t>
      </w:r>
    </w:p>
    <w:p w:rsidR="0033208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746C86">
        <w:rPr>
          <w:rFonts w:ascii="Times New Roman" w:hAnsi="Times New Roman" w:cs="Times New Roman"/>
        </w:rPr>
        <w:t>едоставления коммунальных услуг.</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3</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w:t>
      </w:r>
      <w:r w:rsidR="0079451F">
        <w:rPr>
          <w:rFonts w:ascii="Times New Roman" w:hAnsi="Times New Roman" w:cs="Times New Roman"/>
        </w:rPr>
        <w:t xml:space="preserve">Подготовка документации </w:t>
      </w:r>
      <w:proofErr w:type="spellStart"/>
      <w:r w:rsidR="0079451F">
        <w:rPr>
          <w:rFonts w:ascii="Times New Roman" w:hAnsi="Times New Roman" w:cs="Times New Roman"/>
        </w:rPr>
        <w:t>длч</w:t>
      </w:r>
      <w:proofErr w:type="spellEnd"/>
      <w:r w:rsidR="0079451F">
        <w:rPr>
          <w:rFonts w:ascii="Times New Roman" w:hAnsi="Times New Roman" w:cs="Times New Roman"/>
        </w:rPr>
        <w:t xml:space="preserve"> участия в региональных программах по ППМИ</w:t>
      </w:r>
      <w:r w:rsidR="00D91C69" w:rsidRPr="00CA6A23">
        <w:rPr>
          <w:rFonts w:ascii="Times New Roman" w:hAnsi="Times New Roman" w:cs="Times New Roman"/>
        </w:rPr>
        <w:t>»;</w:t>
      </w:r>
    </w:p>
    <w:p w:rsidR="0079451F"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79451F"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79451F" w:rsidRPr="00CA6A23"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79451F" w:rsidRPr="00CA6A23"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4</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B61A19" w:rsidRDefault="00F61A49" w:rsidP="007A0E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5</w:t>
      </w:r>
      <w:r w:rsidR="00D91C69"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sidR="001F385F">
        <w:rPr>
          <w:rFonts w:ascii="Times New Roman" w:hAnsi="Times New Roman" w:cs="Times New Roman"/>
        </w:rPr>
        <w:t xml:space="preserve"> муниципального образования Западнодвинский район,</w:t>
      </w:r>
      <w:r w:rsidR="00D91C69" w:rsidRPr="00CA6A23">
        <w:rPr>
          <w:rFonts w:ascii="Times New Roman" w:hAnsi="Times New Roman" w:cs="Times New Roman"/>
        </w:rPr>
        <w:t xml:space="preserve"> а также с нормативными правовыми актами </w:t>
      </w:r>
      <w:r w:rsidR="001F385F">
        <w:rPr>
          <w:rFonts w:ascii="Times New Roman" w:hAnsi="Times New Roman" w:cs="Times New Roman"/>
        </w:rPr>
        <w:t>Бенецкого сельского поселения</w:t>
      </w:r>
      <w:r w:rsidR="00D91C69">
        <w:rPr>
          <w:rFonts w:ascii="Times New Roman" w:hAnsi="Times New Roman" w:cs="Times New Roman"/>
        </w:rPr>
        <w:t xml:space="preserve"> Западнодвинского района Тверской области.</w:t>
      </w:r>
    </w:p>
    <w:p w:rsidR="00B61A19" w:rsidRPr="0082480C" w:rsidRDefault="00D8674D" w:rsidP="007A0EB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w:t>
      </w:r>
      <w:r w:rsidR="00B61A19" w:rsidRPr="0082480C">
        <w:rPr>
          <w:rFonts w:ascii="Times New Roman" w:hAnsi="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3</w:t>
        </w:r>
      </w:hyperlink>
      <w:r w:rsidR="00B61A19" w:rsidRPr="0082480C">
        <w:rPr>
          <w:rFonts w:ascii="Times New Roman" w:hAnsi="Times New Roman"/>
        </w:rPr>
        <w:t xml:space="preserve"> к настоящей муниципальной программе. </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851"/>
        <w:gridCol w:w="850"/>
        <w:gridCol w:w="851"/>
        <w:gridCol w:w="850"/>
        <w:gridCol w:w="851"/>
        <w:gridCol w:w="850"/>
        <w:gridCol w:w="1276"/>
      </w:tblGrid>
      <w:tr w:rsidR="00B61A19" w:rsidRPr="00314542" w:rsidTr="007A0EB7">
        <w:tc>
          <w:tcPr>
            <w:tcW w:w="3085"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A0EB7" w:rsidRPr="00314542" w:rsidTr="007A0EB7">
        <w:tc>
          <w:tcPr>
            <w:tcW w:w="3085" w:type="dxa"/>
            <w:vMerge/>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c>
          <w:tcPr>
            <w:tcW w:w="851" w:type="dxa"/>
            <w:tcBorders>
              <w:bottom w:val="single" w:sz="4" w:space="0" w:color="auto"/>
              <w:right w:val="single" w:sz="4" w:space="0" w:color="auto"/>
            </w:tcBorders>
          </w:tcPr>
          <w:p w:rsidR="007A0EB7" w:rsidRPr="00314542" w:rsidRDefault="007A0EB7" w:rsidP="007A0EB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1"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w:t>
            </w:r>
            <w:proofErr w:type="gramStart"/>
            <w:r w:rsidRPr="00314542">
              <w:rPr>
                <w:rFonts w:ascii="Times New Roman" w:hAnsi="Times New Roman"/>
              </w:rPr>
              <w:t>надежности функционирования объектов коммунального хозяйства поселения</w:t>
            </w:r>
            <w:proofErr w:type="gramEnd"/>
          </w:p>
        </w:tc>
        <w:tc>
          <w:tcPr>
            <w:tcW w:w="851" w:type="dxa"/>
            <w:tcBorders>
              <w:top w:val="single" w:sz="4" w:space="0" w:color="auto"/>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76403A" w:rsidRDefault="0076403A" w:rsidP="007A0EB7">
      <w:pPr>
        <w:widowControl w:val="0"/>
        <w:autoSpaceDE w:val="0"/>
        <w:autoSpaceDN w:val="0"/>
        <w:adjustRightInd w:val="0"/>
        <w:spacing w:after="0" w:line="240" w:lineRule="auto"/>
        <w:jc w:val="center"/>
        <w:outlineLvl w:val="2"/>
        <w:rPr>
          <w:rFonts w:ascii="Times New Roman" w:hAnsi="Times New Roman"/>
        </w:rPr>
      </w:pPr>
    </w:p>
    <w:p w:rsidR="00B61A19" w:rsidRPr="0082480C" w:rsidRDefault="00B61A19" w:rsidP="007A0EB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lastRenderedPageBreak/>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27</w:t>
      </w:r>
      <w:r w:rsidR="00B61A19" w:rsidRPr="0082480C">
        <w:rPr>
          <w:rFonts w:ascii="Times New Roman" w:hAnsi="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составляет </w:t>
      </w:r>
      <w:r w:rsidR="0076403A">
        <w:rPr>
          <w:rFonts w:ascii="Times New Roman" w:hAnsi="Times New Roman"/>
        </w:rPr>
        <w:t xml:space="preserve">0,0 </w:t>
      </w:r>
      <w:r w:rsidR="00B61A19" w:rsidRPr="0082480C">
        <w:rPr>
          <w:rFonts w:ascii="Times New Roman" w:hAnsi="Times New Roman"/>
        </w:rPr>
        <w:t>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28</w:t>
      </w:r>
      <w:r w:rsidR="00B61A19" w:rsidRPr="0082480C">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244" w:history="1">
        <w:r w:rsidR="00B61A19" w:rsidRPr="0082480C">
          <w:rPr>
            <w:rFonts w:ascii="Times New Roman" w:hAnsi="Times New Roman"/>
            <w:color w:val="0000FF"/>
          </w:rPr>
          <w:t>таблице 4</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714"/>
        <w:gridCol w:w="829"/>
        <w:gridCol w:w="837"/>
        <w:gridCol w:w="835"/>
        <w:gridCol w:w="851"/>
        <w:gridCol w:w="850"/>
        <w:gridCol w:w="851"/>
        <w:gridCol w:w="1240"/>
      </w:tblGrid>
      <w:tr w:rsidR="00B61A19" w:rsidRPr="00314542" w:rsidTr="00C20070">
        <w:tc>
          <w:tcPr>
            <w:tcW w:w="56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714"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5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40"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20070" w:rsidRPr="00314542" w:rsidTr="00C20070">
        <w:tc>
          <w:tcPr>
            <w:tcW w:w="563"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C20070" w:rsidRPr="00314542" w:rsidRDefault="00C20070" w:rsidP="00C20070">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37"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35"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40"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r>
      <w:tr w:rsidR="00C20070" w:rsidRPr="00314542" w:rsidTr="00C20070">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C20070" w:rsidRPr="00314542" w:rsidTr="00C20070">
        <w:trPr>
          <w:trHeight w:val="64"/>
        </w:trPr>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pPr>
        <w:widowControl w:val="0"/>
        <w:autoSpaceDE w:val="0"/>
        <w:autoSpaceDN w:val="0"/>
        <w:adjustRightInd w:val="0"/>
        <w:spacing w:after="0" w:line="240" w:lineRule="auto"/>
        <w:jc w:val="both"/>
        <w:rPr>
          <w:rFonts w:ascii="Times New Roman" w:hAnsi="Times New Roman" w:cs="Times New Roman"/>
        </w:rPr>
      </w:pPr>
    </w:p>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Default="0033208E" w:rsidP="0043697C">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43697C" w:rsidRPr="0082480C" w:rsidRDefault="0043697C" w:rsidP="0043697C">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D8674D"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CE531C">
        <w:rPr>
          <w:rFonts w:ascii="Times New Roman" w:hAnsi="Times New Roman" w:cs="Times New Roman"/>
        </w:rPr>
        <w:t xml:space="preserve">увеличение </w:t>
      </w:r>
      <w:r w:rsidR="0033208E" w:rsidRPr="0082480C">
        <w:rPr>
          <w:rFonts w:ascii="Times New Roman" w:hAnsi="Times New Roman" w:cs="Times New Roman"/>
        </w:rPr>
        <w:t>дол</w:t>
      </w:r>
      <w:r w:rsidR="00CE531C">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BF00A4"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BF00A4" w:rsidRDefault="00417A18"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F00A4" w:rsidRPr="00CA6A23">
        <w:rPr>
          <w:rFonts w:ascii="Times New Roman" w:hAnsi="Times New Roman" w:cs="Times New Roman"/>
        </w:rPr>
        <w:t>мероприятие "Проведение мероприятий по содержанию мест гражданских захоронений";</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BF00A4" w:rsidRDefault="00BF00A4" w:rsidP="00BF00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spellStart"/>
      <w:r w:rsidR="00D4010C">
        <w:rPr>
          <w:rFonts w:ascii="Times New Roman" w:hAnsi="Times New Roman" w:cs="Times New Roman"/>
        </w:rPr>
        <w:t>д</w:t>
      </w:r>
      <w:proofErr w:type="spellEnd"/>
      <w:r w:rsidR="00D91C69" w:rsidRPr="00CA6A23">
        <w:rPr>
          <w:rFonts w:ascii="Times New Roman" w:hAnsi="Times New Roman" w:cs="Times New Roman"/>
        </w:rPr>
        <w:t xml:space="preserve">) </w:t>
      </w:r>
      <w:r w:rsidRPr="00CA6A23">
        <w:rPr>
          <w:rFonts w:ascii="Times New Roman" w:hAnsi="Times New Roman" w:cs="Times New Roman"/>
        </w:rPr>
        <w:t>мероприятие "Проведение мероприятий по восст</w:t>
      </w:r>
      <w:r>
        <w:rPr>
          <w:rFonts w:ascii="Times New Roman" w:hAnsi="Times New Roman" w:cs="Times New Roman"/>
        </w:rPr>
        <w:t>ановлению воинских захоронений";</w:t>
      </w:r>
    </w:p>
    <w:p w:rsidR="00D91C69"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BF00A4" w:rsidRDefault="00D4010C"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xml:space="preserve">) </w:t>
      </w:r>
      <w:r w:rsidR="00BF00A4">
        <w:rPr>
          <w:rFonts w:ascii="Times New Roman" w:hAnsi="Times New Roman" w:cs="Times New Roman"/>
        </w:rPr>
        <w:t>мероприятие «Строительство новых и содержание в надлежащем состоянии колодцев»;</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D8674D">
        <w:rPr>
          <w:rFonts w:ascii="Times New Roman" w:hAnsi="Times New Roman" w:cs="Times New Roman"/>
        </w:rPr>
        <w:t>33</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BF00A4">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r w:rsidR="00BF00A4">
        <w:rPr>
          <w:rFonts w:ascii="Times New Roman" w:hAnsi="Times New Roman" w:cs="Times New Roman"/>
        </w:rPr>
        <w:t xml:space="preserve"> и ТКО</w:t>
      </w:r>
      <w:r>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D91C69"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sidR="00BF00A4">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33208E" w:rsidRDefault="00D91C69" w:rsidP="00CE531C">
      <w:pPr>
        <w:pStyle w:val="a3"/>
        <w:rPr>
          <w:rFonts w:ascii="Times New Roman" w:hAnsi="Times New Roman"/>
        </w:rPr>
      </w:pPr>
      <w:r w:rsidRPr="00CA6A23">
        <w:rPr>
          <w:rFonts w:ascii="Times New Roman" w:hAnsi="Times New Roman"/>
        </w:rPr>
        <w:t xml:space="preserve">         </w:t>
      </w:r>
    </w:p>
    <w:p w:rsidR="00B61A19" w:rsidRPr="0082480C" w:rsidRDefault="00D8674D" w:rsidP="00B61A19">
      <w:pPr>
        <w:pStyle w:val="a3"/>
        <w:rPr>
          <w:rFonts w:ascii="Times New Roman" w:hAnsi="Times New Roman"/>
        </w:rPr>
      </w:pPr>
      <w:r>
        <w:rPr>
          <w:rFonts w:ascii="Times New Roman" w:hAnsi="Times New Roman"/>
        </w:rPr>
        <w:t xml:space="preserve">         34</w:t>
      </w:r>
      <w:r w:rsidR="00B61A19"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CA6A23">
          <w:rPr>
            <w:rFonts w:ascii="Times New Roman" w:hAnsi="Times New Roman"/>
            <w:color w:val="0000FF"/>
          </w:rPr>
          <w:t>таблице 5</w:t>
        </w:r>
      </w:hyperlink>
      <w:r w:rsidR="00B61A19" w:rsidRPr="00CA6A23">
        <w:rPr>
          <w:rFonts w:ascii="Times New Roman" w:hAnsi="Times New Roman"/>
        </w:rPr>
        <w:t xml:space="preserve"> к настоящей муниципальной программе.</w:t>
      </w:r>
    </w:p>
    <w:p w:rsidR="00B61A19" w:rsidRPr="0082480C" w:rsidRDefault="00B61A19" w:rsidP="00B61A19">
      <w:pPr>
        <w:pStyle w:val="a3"/>
        <w:jc w:val="right"/>
        <w:rPr>
          <w:rFonts w:ascii="Times New Roman" w:hAnsi="Times New Roman"/>
        </w:rPr>
      </w:pPr>
      <w:r w:rsidRPr="0082480C">
        <w:rPr>
          <w:rFonts w:ascii="Times New Roman" w:hAnsi="Times New Roman"/>
        </w:rPr>
        <w:t>Таблица 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9"/>
        <w:gridCol w:w="850"/>
        <w:gridCol w:w="851"/>
        <w:gridCol w:w="850"/>
        <w:gridCol w:w="851"/>
        <w:gridCol w:w="850"/>
        <w:gridCol w:w="851"/>
        <w:gridCol w:w="1348"/>
      </w:tblGrid>
      <w:tr w:rsidR="00B61A19" w:rsidRPr="00314542" w:rsidTr="00760737">
        <w:tc>
          <w:tcPr>
            <w:tcW w:w="2729" w:type="dxa"/>
            <w:vMerge w:val="restart"/>
          </w:tcPr>
          <w:p w:rsidR="00B61A19" w:rsidRDefault="00B61A19" w:rsidP="007D265B">
            <w:pPr>
              <w:widowControl w:val="0"/>
              <w:autoSpaceDE w:val="0"/>
              <w:autoSpaceDN w:val="0"/>
              <w:adjustRightInd w:val="0"/>
              <w:spacing w:after="0" w:line="240" w:lineRule="auto"/>
              <w:rPr>
                <w:rFonts w:ascii="Times New Roman" w:hAnsi="Times New Roman"/>
              </w:rPr>
            </w:pPr>
          </w:p>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4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60737" w:rsidRPr="00314542" w:rsidTr="00760737">
        <w:tc>
          <w:tcPr>
            <w:tcW w:w="2729" w:type="dxa"/>
            <w:vMerge/>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c>
          <w:tcPr>
            <w:tcW w:w="850" w:type="dxa"/>
            <w:tcBorders>
              <w:bottom w:val="single" w:sz="4" w:space="0" w:color="auto"/>
              <w:right w:val="single" w:sz="4" w:space="0" w:color="auto"/>
            </w:tcBorders>
          </w:tcPr>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0"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348"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850" w:type="dxa"/>
            <w:tcBorders>
              <w:top w:val="single" w:sz="4" w:space="0" w:color="auto"/>
              <w:right w:val="single" w:sz="4" w:space="0" w:color="auto"/>
            </w:tcBorders>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329,8</w:t>
            </w:r>
          </w:p>
        </w:tc>
        <w:tc>
          <w:tcPr>
            <w:tcW w:w="851" w:type="dxa"/>
            <w:tcBorders>
              <w:left w:val="single" w:sz="4" w:space="0" w:color="auto"/>
            </w:tcBorders>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425,8</w:t>
            </w:r>
          </w:p>
        </w:tc>
        <w:tc>
          <w:tcPr>
            <w:tcW w:w="850" w:type="dxa"/>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321,2</w:t>
            </w:r>
          </w:p>
        </w:tc>
        <w:tc>
          <w:tcPr>
            <w:tcW w:w="851" w:type="dxa"/>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0" w:type="dxa"/>
            <w:tcBorders>
              <w:righ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1" w:type="dxa"/>
            <w:tcBorders>
              <w:lef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1348" w:type="dxa"/>
            <w:vAlign w:val="center"/>
          </w:tcPr>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2039,9</w:t>
            </w: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850" w:type="dxa"/>
            <w:tcBorders>
              <w:right w:val="single" w:sz="4" w:space="0" w:color="auto"/>
            </w:tcBorders>
          </w:tcPr>
          <w:p w:rsidR="00760737" w:rsidRDefault="00760737" w:rsidP="00760737">
            <w:pPr>
              <w:jc w:val="center"/>
            </w:pPr>
          </w:p>
          <w:p w:rsidR="00760737" w:rsidRPr="00760737" w:rsidRDefault="00760737" w:rsidP="00760737">
            <w:pPr>
              <w:jc w:val="center"/>
            </w:pPr>
            <w:r>
              <w:t>35,0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348"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35,0</w:t>
            </w:r>
          </w:p>
        </w:tc>
      </w:tr>
    </w:tbl>
    <w:p w:rsidR="00B61A19" w:rsidRPr="0082480C" w:rsidRDefault="00B61A19" w:rsidP="00B61A19">
      <w:pPr>
        <w:pStyle w:val="a3"/>
        <w:rPr>
          <w:rFonts w:ascii="Times New Roman" w:hAnsi="Times New Roman"/>
        </w:rPr>
      </w:pP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00B61A19"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за счет средств местного бюджета, составляет </w:t>
      </w:r>
      <w:r w:rsidR="00925CFA">
        <w:rPr>
          <w:rFonts w:ascii="Times New Roman" w:hAnsi="Times New Roman"/>
        </w:rPr>
        <w:t>2074,9</w:t>
      </w:r>
      <w:r w:rsidR="00B61A19">
        <w:rPr>
          <w:rFonts w:ascii="Times New Roman" w:hAnsi="Times New Roman"/>
        </w:rPr>
        <w:t xml:space="preserve"> </w:t>
      </w:r>
      <w:r w:rsidR="00B61A19" w:rsidRPr="0082480C">
        <w:rPr>
          <w:rFonts w:ascii="Times New Roman" w:hAnsi="Times New Roman"/>
        </w:rPr>
        <w:t>тыс. руб.</w:t>
      </w:r>
    </w:p>
    <w:p w:rsidR="00B61A19"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36</w:t>
      </w:r>
      <w:r w:rsidR="00B61A19" w:rsidRPr="0082480C">
        <w:rPr>
          <w:rFonts w:ascii="Times New Roman" w:hAnsi="Times New Roman"/>
        </w:rPr>
        <w:t xml:space="preserve">. Объем бюджетных ассигнований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391" w:history="1">
        <w:r w:rsidR="00B61A19" w:rsidRPr="0082480C">
          <w:rPr>
            <w:rFonts w:ascii="Times New Roman" w:hAnsi="Times New Roman"/>
            <w:color w:val="0000FF"/>
          </w:rPr>
          <w:t>таблице 6</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486"/>
        <w:gridCol w:w="829"/>
        <w:gridCol w:w="883"/>
        <w:gridCol w:w="851"/>
        <w:gridCol w:w="850"/>
        <w:gridCol w:w="851"/>
        <w:gridCol w:w="850"/>
        <w:gridCol w:w="1418"/>
      </w:tblGrid>
      <w:tr w:rsidR="00B61A19" w:rsidRPr="00314542" w:rsidTr="007D265B">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2486"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114"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7D265B" w:rsidRPr="00314542" w:rsidTr="007D265B">
        <w:tc>
          <w:tcPr>
            <w:tcW w:w="562"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2486"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83"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19 г</w:t>
            </w:r>
          </w:p>
        </w:tc>
        <w:tc>
          <w:tcPr>
            <w:tcW w:w="851"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r>
      <w:tr w:rsidR="007D265B" w:rsidRPr="00314542" w:rsidTr="007D265B">
        <w:tc>
          <w:tcPr>
            <w:tcW w:w="562"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486"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829" w:type="dxa"/>
            <w:tcBorders>
              <w:righ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364,8</w:t>
            </w:r>
          </w:p>
        </w:tc>
        <w:tc>
          <w:tcPr>
            <w:tcW w:w="883"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2074,9</w:t>
            </w:r>
          </w:p>
        </w:tc>
      </w:tr>
      <w:tr w:rsidR="00F91C28" w:rsidRPr="00314542" w:rsidTr="007D265B">
        <w:tc>
          <w:tcPr>
            <w:tcW w:w="562" w:type="dxa"/>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p>
        </w:tc>
        <w:tc>
          <w:tcPr>
            <w:tcW w:w="2486" w:type="dxa"/>
          </w:tcPr>
          <w:p w:rsidR="00F91C28" w:rsidRPr="00314542" w:rsidRDefault="00F91C28" w:rsidP="00F91C2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Итого</w:t>
            </w:r>
          </w:p>
        </w:tc>
        <w:tc>
          <w:tcPr>
            <w:tcW w:w="829" w:type="dxa"/>
            <w:tcBorders>
              <w:bottom w:val="single" w:sz="4" w:space="0" w:color="auto"/>
              <w:righ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364,8</w:t>
            </w:r>
          </w:p>
        </w:tc>
        <w:tc>
          <w:tcPr>
            <w:tcW w:w="883"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2074,9</w:t>
            </w:r>
          </w:p>
        </w:tc>
      </w:tr>
    </w:tbl>
    <w:p w:rsidR="00B61A19" w:rsidRDefault="00B61A19" w:rsidP="00F91C28">
      <w:pPr>
        <w:pStyle w:val="a3"/>
        <w:jc w:val="center"/>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37</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38</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D8674D">
        <w:rPr>
          <w:rFonts w:ascii="Times New Roman" w:hAnsi="Times New Roman"/>
        </w:rPr>
        <w:t>9</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D8674D">
        <w:rPr>
          <w:rFonts w:ascii="Times New Roman" w:hAnsi="Times New Roman"/>
        </w:rPr>
        <w:t>40</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41</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42</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43</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44</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D8674D">
        <w:rPr>
          <w:rFonts w:ascii="Times New Roman" w:hAnsi="Times New Roman"/>
        </w:rPr>
        <w:t>45</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46</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ежеквартальную оценку выполнения исполнителями администратора муниципальной </w:t>
      </w:r>
      <w:r w:rsidRPr="00655E8C">
        <w:rPr>
          <w:rFonts w:ascii="Times New Roman" w:hAnsi="Times New Roman"/>
        </w:rPr>
        <w:lastRenderedPageBreak/>
        <w:t>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47</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48</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49</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50</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51</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E9503E">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некоммерческими </w:t>
      </w:r>
      <w:proofErr w:type="spellStart"/>
      <w:r w:rsidRPr="00655E8C">
        <w:rPr>
          <w:rFonts w:ascii="Times New Roman" w:hAnsi="Times New Roman"/>
        </w:rPr>
        <w:t>организациямипри</w:t>
      </w:r>
      <w:proofErr w:type="spellEnd"/>
      <w:r w:rsidRPr="00655E8C">
        <w:rPr>
          <w:rFonts w:ascii="Times New Roman" w:hAnsi="Times New Roman"/>
        </w:rPr>
        <w:t xml:space="preserve">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52</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33CC7"/>
    <w:rsid w:val="00054AD8"/>
    <w:rsid w:val="000571DA"/>
    <w:rsid w:val="00061FB8"/>
    <w:rsid w:val="00063E30"/>
    <w:rsid w:val="0007212A"/>
    <w:rsid w:val="00080767"/>
    <w:rsid w:val="000878B1"/>
    <w:rsid w:val="000C0A1A"/>
    <w:rsid w:val="000D1427"/>
    <w:rsid w:val="000E3629"/>
    <w:rsid w:val="000F1B3E"/>
    <w:rsid w:val="00112E05"/>
    <w:rsid w:val="00122E70"/>
    <w:rsid w:val="0012308E"/>
    <w:rsid w:val="001277D7"/>
    <w:rsid w:val="0014570D"/>
    <w:rsid w:val="0016100C"/>
    <w:rsid w:val="001669A9"/>
    <w:rsid w:val="0019111F"/>
    <w:rsid w:val="00196EC6"/>
    <w:rsid w:val="001A0B2B"/>
    <w:rsid w:val="001B7374"/>
    <w:rsid w:val="001C03C4"/>
    <w:rsid w:val="001D4056"/>
    <w:rsid w:val="001E6D82"/>
    <w:rsid w:val="001F385F"/>
    <w:rsid w:val="00206DD0"/>
    <w:rsid w:val="00221B1B"/>
    <w:rsid w:val="00236D72"/>
    <w:rsid w:val="00256007"/>
    <w:rsid w:val="00266DA5"/>
    <w:rsid w:val="00286C99"/>
    <w:rsid w:val="002905FD"/>
    <w:rsid w:val="002A545D"/>
    <w:rsid w:val="002D10AA"/>
    <w:rsid w:val="003041D2"/>
    <w:rsid w:val="00304B2D"/>
    <w:rsid w:val="0030711B"/>
    <w:rsid w:val="003140C1"/>
    <w:rsid w:val="003216FB"/>
    <w:rsid w:val="00326218"/>
    <w:rsid w:val="0033208E"/>
    <w:rsid w:val="00370D5B"/>
    <w:rsid w:val="00386178"/>
    <w:rsid w:val="003A5B7F"/>
    <w:rsid w:val="003A7A33"/>
    <w:rsid w:val="003B11EF"/>
    <w:rsid w:val="003C2ACD"/>
    <w:rsid w:val="003D37A9"/>
    <w:rsid w:val="003D660F"/>
    <w:rsid w:val="00416616"/>
    <w:rsid w:val="00417A18"/>
    <w:rsid w:val="0043253B"/>
    <w:rsid w:val="0043697C"/>
    <w:rsid w:val="00445591"/>
    <w:rsid w:val="0047001D"/>
    <w:rsid w:val="0047468E"/>
    <w:rsid w:val="004829BB"/>
    <w:rsid w:val="00490FB7"/>
    <w:rsid w:val="0049781D"/>
    <w:rsid w:val="004A6178"/>
    <w:rsid w:val="004B766D"/>
    <w:rsid w:val="004C20E5"/>
    <w:rsid w:val="004E3C14"/>
    <w:rsid w:val="004F5A4D"/>
    <w:rsid w:val="005115B3"/>
    <w:rsid w:val="0051599D"/>
    <w:rsid w:val="0052364B"/>
    <w:rsid w:val="0053565D"/>
    <w:rsid w:val="005364A8"/>
    <w:rsid w:val="00554A08"/>
    <w:rsid w:val="00556A7D"/>
    <w:rsid w:val="00565E75"/>
    <w:rsid w:val="0058083B"/>
    <w:rsid w:val="005910AD"/>
    <w:rsid w:val="005A08CA"/>
    <w:rsid w:val="005A20FA"/>
    <w:rsid w:val="005B242A"/>
    <w:rsid w:val="005C0328"/>
    <w:rsid w:val="005F2F2B"/>
    <w:rsid w:val="005F5FE1"/>
    <w:rsid w:val="005F6AE8"/>
    <w:rsid w:val="00615F4B"/>
    <w:rsid w:val="00622FB6"/>
    <w:rsid w:val="006348E2"/>
    <w:rsid w:val="00637274"/>
    <w:rsid w:val="0064556C"/>
    <w:rsid w:val="006807C9"/>
    <w:rsid w:val="00685206"/>
    <w:rsid w:val="0068521D"/>
    <w:rsid w:val="00686810"/>
    <w:rsid w:val="006D7ABF"/>
    <w:rsid w:val="00700A0E"/>
    <w:rsid w:val="00712DA7"/>
    <w:rsid w:val="00730E71"/>
    <w:rsid w:val="00733406"/>
    <w:rsid w:val="00746B4C"/>
    <w:rsid w:val="00746C86"/>
    <w:rsid w:val="00750F25"/>
    <w:rsid w:val="007549AC"/>
    <w:rsid w:val="00760737"/>
    <w:rsid w:val="00761433"/>
    <w:rsid w:val="0076403A"/>
    <w:rsid w:val="00770021"/>
    <w:rsid w:val="00772E9C"/>
    <w:rsid w:val="00780E35"/>
    <w:rsid w:val="00785847"/>
    <w:rsid w:val="0079451F"/>
    <w:rsid w:val="0079550E"/>
    <w:rsid w:val="007A0EB7"/>
    <w:rsid w:val="007A0ECF"/>
    <w:rsid w:val="007A20CF"/>
    <w:rsid w:val="007B18BF"/>
    <w:rsid w:val="007D0117"/>
    <w:rsid w:val="007D265B"/>
    <w:rsid w:val="0080492B"/>
    <w:rsid w:val="00805E8F"/>
    <w:rsid w:val="00806808"/>
    <w:rsid w:val="00810510"/>
    <w:rsid w:val="0081264E"/>
    <w:rsid w:val="0082480C"/>
    <w:rsid w:val="00833731"/>
    <w:rsid w:val="008343F9"/>
    <w:rsid w:val="00841E5C"/>
    <w:rsid w:val="00842420"/>
    <w:rsid w:val="00883563"/>
    <w:rsid w:val="008846D5"/>
    <w:rsid w:val="0088746C"/>
    <w:rsid w:val="008939D5"/>
    <w:rsid w:val="0089575C"/>
    <w:rsid w:val="008A1CFD"/>
    <w:rsid w:val="008B1804"/>
    <w:rsid w:val="008B68F9"/>
    <w:rsid w:val="008C27B3"/>
    <w:rsid w:val="008D516C"/>
    <w:rsid w:val="0090664B"/>
    <w:rsid w:val="00914320"/>
    <w:rsid w:val="00925CFA"/>
    <w:rsid w:val="00941714"/>
    <w:rsid w:val="00951DCC"/>
    <w:rsid w:val="00952DAF"/>
    <w:rsid w:val="009563A5"/>
    <w:rsid w:val="009862F3"/>
    <w:rsid w:val="009B5009"/>
    <w:rsid w:val="009B5B40"/>
    <w:rsid w:val="009C18FF"/>
    <w:rsid w:val="009C54AD"/>
    <w:rsid w:val="009F768E"/>
    <w:rsid w:val="00A02F88"/>
    <w:rsid w:val="00A349C2"/>
    <w:rsid w:val="00A57B30"/>
    <w:rsid w:val="00A7287F"/>
    <w:rsid w:val="00AD137D"/>
    <w:rsid w:val="00AF2794"/>
    <w:rsid w:val="00AF453E"/>
    <w:rsid w:val="00AF5D99"/>
    <w:rsid w:val="00B02716"/>
    <w:rsid w:val="00B13868"/>
    <w:rsid w:val="00B34F2B"/>
    <w:rsid w:val="00B40B1C"/>
    <w:rsid w:val="00B61A19"/>
    <w:rsid w:val="00B629EB"/>
    <w:rsid w:val="00B74385"/>
    <w:rsid w:val="00B906E2"/>
    <w:rsid w:val="00BD69F6"/>
    <w:rsid w:val="00BF00A4"/>
    <w:rsid w:val="00BF27B9"/>
    <w:rsid w:val="00BF5077"/>
    <w:rsid w:val="00C20070"/>
    <w:rsid w:val="00C45DF6"/>
    <w:rsid w:val="00C51041"/>
    <w:rsid w:val="00C5415A"/>
    <w:rsid w:val="00C7300A"/>
    <w:rsid w:val="00C74587"/>
    <w:rsid w:val="00C77875"/>
    <w:rsid w:val="00C8229B"/>
    <w:rsid w:val="00C93E44"/>
    <w:rsid w:val="00CB5B04"/>
    <w:rsid w:val="00CE531C"/>
    <w:rsid w:val="00D4010C"/>
    <w:rsid w:val="00D466A0"/>
    <w:rsid w:val="00D4785E"/>
    <w:rsid w:val="00D56FE6"/>
    <w:rsid w:val="00D77AEE"/>
    <w:rsid w:val="00D842F2"/>
    <w:rsid w:val="00D8674D"/>
    <w:rsid w:val="00D91C69"/>
    <w:rsid w:val="00DC1E9E"/>
    <w:rsid w:val="00DF7318"/>
    <w:rsid w:val="00E03F87"/>
    <w:rsid w:val="00E0403A"/>
    <w:rsid w:val="00E30291"/>
    <w:rsid w:val="00E33C2E"/>
    <w:rsid w:val="00E537F7"/>
    <w:rsid w:val="00E6129C"/>
    <w:rsid w:val="00E70781"/>
    <w:rsid w:val="00E9503E"/>
    <w:rsid w:val="00EA0DA2"/>
    <w:rsid w:val="00EB0B62"/>
    <w:rsid w:val="00EB0DE8"/>
    <w:rsid w:val="00ED2D3E"/>
    <w:rsid w:val="00EF10D9"/>
    <w:rsid w:val="00F06D96"/>
    <w:rsid w:val="00F10415"/>
    <w:rsid w:val="00F26440"/>
    <w:rsid w:val="00F51517"/>
    <w:rsid w:val="00F61A49"/>
    <w:rsid w:val="00F64726"/>
    <w:rsid w:val="00F6506F"/>
    <w:rsid w:val="00F668C2"/>
    <w:rsid w:val="00F91C28"/>
    <w:rsid w:val="00FA0E7E"/>
    <w:rsid w:val="00FC34D5"/>
    <w:rsid w:val="00FC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567990">
      <w:bodyDiv w:val="1"/>
      <w:marLeft w:val="0"/>
      <w:marRight w:val="0"/>
      <w:marTop w:val="0"/>
      <w:marBottom w:val="0"/>
      <w:divBdr>
        <w:top w:val="none" w:sz="0" w:space="0" w:color="auto"/>
        <w:left w:val="none" w:sz="0" w:space="0" w:color="auto"/>
        <w:bottom w:val="none" w:sz="0" w:space="0" w:color="auto"/>
        <w:right w:val="none" w:sz="0" w:space="0" w:color="auto"/>
      </w:divBdr>
    </w:div>
    <w:div w:id="14587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15</Pages>
  <Words>5209</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180</cp:revision>
  <cp:lastPrinted>2017-11-16T12:25:00Z</cp:lastPrinted>
  <dcterms:created xsi:type="dcterms:W3CDTF">2014-09-04T10:59:00Z</dcterms:created>
  <dcterms:modified xsi:type="dcterms:W3CDTF">2018-07-16T08:41:00Z</dcterms:modified>
</cp:coreProperties>
</file>