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44" w:rsidRPr="009B1BAF" w:rsidRDefault="00215944" w:rsidP="00215944">
      <w:pPr>
        <w:pStyle w:val="1"/>
        <w:ind w:left="4820"/>
        <w:rPr>
          <w:sz w:val="28"/>
          <w:szCs w:val="28"/>
        </w:rPr>
      </w:pPr>
      <w:r w:rsidRPr="009B1BAF">
        <w:rPr>
          <w:sz w:val="28"/>
          <w:szCs w:val="28"/>
        </w:rPr>
        <w:t xml:space="preserve">Приложение </w:t>
      </w:r>
    </w:p>
    <w:p w:rsidR="00215944" w:rsidRPr="00F62806" w:rsidRDefault="00215944" w:rsidP="00215944">
      <w:pPr>
        <w:pStyle w:val="1"/>
        <w:ind w:left="4820"/>
        <w:rPr>
          <w:sz w:val="28"/>
          <w:szCs w:val="28"/>
        </w:rPr>
      </w:pPr>
      <w:r w:rsidRPr="00F62806">
        <w:rPr>
          <w:sz w:val="28"/>
          <w:szCs w:val="28"/>
        </w:rPr>
        <w:t xml:space="preserve">к постановлению  администрации </w:t>
      </w:r>
      <w:r w:rsidR="00F62806" w:rsidRPr="00F62806">
        <w:rPr>
          <w:sz w:val="28"/>
          <w:szCs w:val="28"/>
        </w:rPr>
        <w:t xml:space="preserve">Бенецкого </w:t>
      </w:r>
      <w:r w:rsidR="00BA0112" w:rsidRPr="00F62806">
        <w:rPr>
          <w:sz w:val="28"/>
          <w:szCs w:val="28"/>
        </w:rPr>
        <w:t>сельского поселения</w:t>
      </w:r>
      <w:r w:rsidRPr="00F62806">
        <w:rPr>
          <w:sz w:val="28"/>
          <w:szCs w:val="28"/>
        </w:rPr>
        <w:t xml:space="preserve"> </w:t>
      </w:r>
    </w:p>
    <w:p w:rsidR="00215944" w:rsidRPr="00F62806" w:rsidRDefault="00215944" w:rsidP="00214316">
      <w:pPr>
        <w:pStyle w:val="1"/>
        <w:ind w:left="4820"/>
        <w:rPr>
          <w:sz w:val="28"/>
          <w:szCs w:val="28"/>
        </w:rPr>
      </w:pPr>
      <w:r w:rsidRPr="00F62806">
        <w:rPr>
          <w:sz w:val="28"/>
          <w:szCs w:val="28"/>
        </w:rPr>
        <w:t xml:space="preserve">от  </w:t>
      </w:r>
      <w:r w:rsidR="007930AC">
        <w:rPr>
          <w:sz w:val="28"/>
          <w:szCs w:val="28"/>
        </w:rPr>
        <w:t>30.03.2018г.</w:t>
      </w:r>
      <w:r w:rsidRPr="00F62806">
        <w:rPr>
          <w:sz w:val="28"/>
          <w:szCs w:val="28"/>
        </w:rPr>
        <w:t xml:space="preserve"> №</w:t>
      </w:r>
      <w:bookmarkStart w:id="0" w:name="Par30"/>
      <w:bookmarkEnd w:id="0"/>
      <w:r w:rsidR="007930AC">
        <w:rPr>
          <w:sz w:val="28"/>
          <w:szCs w:val="28"/>
        </w:rPr>
        <w:t xml:space="preserve"> 18</w:t>
      </w:r>
    </w:p>
    <w:p w:rsidR="00215944" w:rsidRPr="00F62806" w:rsidRDefault="003223A2" w:rsidP="00215944">
      <w:pPr>
        <w:pStyle w:val="21"/>
        <w:tabs>
          <w:tab w:val="right" w:leader="dot" w:pos="9345"/>
        </w:tabs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15944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15944" w:rsidRPr="009B1BAF" w:rsidRDefault="003223A2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15944" w:rsidRPr="009B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15944" w:rsidRPr="009B1BAF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инвестиционных проектов</w:t>
      </w:r>
      <w:r w:rsid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финансирование которых планируется осуществлять полностью или частично за счет средств бюджета  муниципального образования 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Бенецкое </w:t>
      </w:r>
      <w:r w:rsidR="00F6280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749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елькое поселение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эффективности </w:t>
      </w:r>
      <w:r w:rsid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бюджета муниципального </w:t>
      </w:r>
      <w:r w:rsidR="0021431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F6280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Бенецкое </w:t>
      </w:r>
      <w:r w:rsidR="004C749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</w:t>
      </w:r>
      <w:r w:rsidR="0021431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</w:t>
      </w:r>
      <w:r w:rsidR="004C749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1431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C749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431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капитальные вложения</w:t>
      </w:r>
    </w:p>
    <w:p w:rsidR="00215944" w:rsidRPr="009B1BAF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1C0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215944" w:rsidRDefault="00215944" w:rsidP="00214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bookmarkStart w:id="1" w:name="Par35"/>
      <w:bookmarkStart w:id="2" w:name="Par37"/>
      <w:bookmarkEnd w:id="1"/>
      <w:bookmarkEnd w:id="2"/>
    </w:p>
    <w:p w:rsidR="00B13DDE" w:rsidRPr="001C0C44" w:rsidRDefault="00B13DDE" w:rsidP="00214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регламентирует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объект капитального строительства), приобретение объектов недвижимого и</w:t>
      </w:r>
      <w:r w:rsidR="0021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финансирование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планируется осуществлять полностью или час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тично за счет средств  бюджета муниципального образования </w:t>
      </w:r>
      <w:r w:rsidR="00F6280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Бенецкое </w:t>
      </w:r>
      <w:r w:rsidR="004C749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FE12C9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="004C749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</w:t>
      </w:r>
      <w:r w:rsidR="0074580D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</w:t>
      </w:r>
      <w:r w:rsidR="004C749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4580D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C749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(далее –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предмет эффективности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средств местного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 (далее – проверка).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 (далее – интегральная оценка), в целях реализации указанного инвестиционного проекта.</w:t>
      </w:r>
    </w:p>
    <w:p w:rsidR="001C0BAD" w:rsidRDefault="001C0BAD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3.Настоящий Порядок не распространяется на инвестиционные проекты (программы):</w:t>
      </w:r>
    </w:p>
    <w:p w:rsidR="001C0BAD" w:rsidRDefault="001C0BAD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реализуемые в соответствии с законодательством Российской Федерации о концессионных соглашениях и законодательством Российской Федерации о государственно-частном партнерстве;</w:t>
      </w:r>
    </w:p>
    <w:p w:rsidR="001C0BAD" w:rsidRDefault="001C0BAD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которым решения о реализации бюджетных инвестиций приняты Правительством Тверской области, </w:t>
      </w:r>
      <w:r w:rsidRPr="00F67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</w:t>
      </w:r>
      <w:r w:rsid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муниципального образования Бенецкое </w:t>
      </w:r>
      <w:r w:rsidR="004C749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 w:rsidRPr="00F67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Западнодвинск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6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662637" w:rsidRPr="00F6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вступления в силу настоящего Порядка;</w:t>
      </w:r>
    </w:p>
    <w:p w:rsidR="001C0BAD" w:rsidRDefault="001C0BAD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66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Бенецкое </w:t>
      </w:r>
      <w:r w:rsidR="004C749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6626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реализуемые в рамках программ по поддержке местных инициатив;</w:t>
      </w:r>
    </w:p>
    <w:p w:rsidR="00662637" w:rsidRDefault="00662637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предполагающие приобретение земельных участков и участков недр;</w:t>
      </w:r>
    </w:p>
    <w:p w:rsidR="001C0BAD" w:rsidRPr="001C0C44" w:rsidRDefault="00662637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финансирование которых предполагается осуществлять по решениям Правительства Тверской области, федеральных органов исполнительной власти Российской Федерации.</w:t>
      </w:r>
    </w:p>
    <w:p w:rsidR="00215944" w:rsidRPr="001C0C44" w:rsidRDefault="00662637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п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для принятия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редоставлении средств местного 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осуществления бюджетных инвестиций в объекты капитально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строительства муниципальной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по которым: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осуществления бюджетных инвестиций на приобретение объектов недвижимого 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в муниципальную 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муниципальным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 предприятиям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капитальных вложений в объекты капитально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строительства муниципальной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по которым: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 на строительство, реконструкцию, в том числе с элементами реставрации, техническое перевооружение осуществляется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средств местного</w:t>
      </w:r>
      <w:r w:rsidR="007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субсидий муниципальным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учреждениям,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</w:t>
      </w:r>
      <w:r w:rsidR="00C9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</w:t>
      </w:r>
      <w:r w:rsidR="00C9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 предприятиям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капитальных вложений на приобретение объектов недвижи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имущества в муниципальную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</w:t>
      </w:r>
      <w:r w:rsidR="00C95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1C0C44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бюджетных инвестиций в объекты капитальн</w:t>
      </w:r>
      <w:r w:rsidR="00C9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строительства, находящиеся в государственной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юридических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являющихся муниципальными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 w:rsidR="00C9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унитарными предприятиями,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а также на приобретение объектов недвижимого имущества в собственность указанных организаций;</w:t>
      </w:r>
    </w:p>
    <w:p w:rsidR="00215944" w:rsidRPr="001C0C44" w:rsidRDefault="00BA0428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944" w:rsidRPr="001C0C44">
        <w:rPr>
          <w:rFonts w:ascii="Times New Roman" w:hAnsi="Times New Roman" w:cs="Times New Roman"/>
        </w:rPr>
        <w:t xml:space="preserve"> 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r w:rsidR="004C74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62806">
        <w:rPr>
          <w:rFonts w:ascii="Times New Roman" w:hAnsi="Times New Roman" w:cs="Times New Roman"/>
          <w:sz w:val="28"/>
          <w:szCs w:val="28"/>
        </w:rPr>
        <w:t xml:space="preserve">Бенецкого </w:t>
      </w:r>
      <w:r w:rsidR="004C74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5944">
        <w:rPr>
          <w:rFonts w:ascii="Times New Roman" w:hAnsi="Times New Roman" w:cs="Times New Roman"/>
          <w:sz w:val="28"/>
          <w:szCs w:val="28"/>
        </w:rPr>
        <w:t xml:space="preserve"> 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C749F">
        <w:rPr>
          <w:rFonts w:ascii="Times New Roman" w:hAnsi="Times New Roman" w:cs="Times New Roman"/>
          <w:sz w:val="28"/>
          <w:szCs w:val="28"/>
        </w:rPr>
        <w:t>Администрация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) в соответствии Методикой оценки эффективности </w:t>
      </w:r>
      <w:r w:rsidR="00215944">
        <w:rPr>
          <w:rFonts w:ascii="Times New Roman" w:hAnsi="Times New Roman" w:cs="Times New Roman"/>
          <w:sz w:val="28"/>
          <w:szCs w:val="28"/>
        </w:rPr>
        <w:t>использования средств местного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вложения, согласно приложению 1 к настоящему Порядку (далее – Методика).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>Плата за проведение проверки не взимается.</w:t>
      </w:r>
    </w:p>
    <w:p w:rsidR="00215944" w:rsidRPr="00BA0112" w:rsidRDefault="00875E79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осуществляется в отношении инвестиционных проектов, указанных в пункте 1 настоящего раздела, в случае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</w:t>
      </w:r>
      <w:r w:rsidR="00BA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                    </w:t>
      </w:r>
      <w:r w:rsidR="00BA0428" w:rsidRPr="00BA01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944" w:rsidRPr="00BA0112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миллионов рублей.</w:t>
      </w:r>
    </w:p>
    <w:p w:rsidR="00215944" w:rsidRPr="001C0C44" w:rsidRDefault="00875E79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. Проверка осуществляется на основании исходных данных для расчета интегральной оценки и расчета интегральной оценки, проведенной </w:t>
      </w:r>
      <w:r w:rsidR="004C749F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BA04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62806">
        <w:rPr>
          <w:rFonts w:ascii="Times New Roman" w:hAnsi="Times New Roman" w:cs="Times New Roman"/>
          <w:sz w:val="28"/>
          <w:szCs w:val="28"/>
        </w:rPr>
        <w:t xml:space="preserve"> Бенецкое </w:t>
      </w:r>
      <w:r w:rsidR="004C749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A0428">
        <w:rPr>
          <w:rFonts w:ascii="Times New Roman" w:hAnsi="Times New Roman" w:cs="Times New Roman"/>
          <w:sz w:val="28"/>
          <w:szCs w:val="28"/>
        </w:rPr>
        <w:t>Западнодвинск</w:t>
      </w:r>
      <w:r w:rsidR="004C749F">
        <w:rPr>
          <w:rFonts w:ascii="Times New Roman" w:hAnsi="Times New Roman" w:cs="Times New Roman"/>
          <w:sz w:val="28"/>
          <w:szCs w:val="28"/>
        </w:rPr>
        <w:t>ого</w:t>
      </w:r>
      <w:r w:rsidR="00BA04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749F">
        <w:rPr>
          <w:rFonts w:ascii="Times New Roman" w:hAnsi="Times New Roman" w:cs="Times New Roman"/>
          <w:sz w:val="28"/>
          <w:szCs w:val="28"/>
        </w:rPr>
        <w:t>а</w:t>
      </w:r>
      <w:r w:rsidR="00BA0428">
        <w:rPr>
          <w:rFonts w:ascii="Times New Roman" w:hAnsi="Times New Roman" w:cs="Times New Roman"/>
          <w:sz w:val="28"/>
          <w:szCs w:val="28"/>
        </w:rPr>
        <w:t xml:space="preserve"> Тверской области  (далее - </w:t>
      </w:r>
      <w:r w:rsidR="004C749F">
        <w:rPr>
          <w:rFonts w:ascii="Times New Roman" w:hAnsi="Times New Roman" w:cs="Times New Roman"/>
          <w:sz w:val="28"/>
          <w:szCs w:val="28"/>
        </w:rPr>
        <w:t>поселения</w:t>
      </w:r>
      <w:r w:rsidR="00BA0428">
        <w:rPr>
          <w:rFonts w:ascii="Times New Roman" w:hAnsi="Times New Roman" w:cs="Times New Roman"/>
          <w:sz w:val="28"/>
          <w:szCs w:val="28"/>
        </w:rPr>
        <w:t>)</w:t>
      </w:r>
      <w:r w:rsidR="00215944" w:rsidRPr="001C0C44">
        <w:rPr>
          <w:rFonts w:ascii="Times New Roman" w:hAnsi="Times New Roman" w:cs="Times New Roman"/>
          <w:sz w:val="28"/>
          <w:szCs w:val="28"/>
        </w:rPr>
        <w:t>.</w:t>
      </w:r>
    </w:p>
    <w:p w:rsidR="00215944" w:rsidRPr="001C0C44" w:rsidRDefault="00875E79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настоящем Порядке, применяются в значениях, определенных федеральным законодательством.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</w:t>
      </w:r>
    </w:p>
    <w:p w:rsidR="00215944" w:rsidRDefault="00215944" w:rsidP="0021594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документов, </w:t>
      </w:r>
    </w:p>
    <w:p w:rsidR="00215944" w:rsidRPr="001C0C44" w:rsidRDefault="00215944" w:rsidP="0021594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проведения проверки</w:t>
      </w:r>
    </w:p>
    <w:p w:rsidR="00215944" w:rsidRPr="001C0C44" w:rsidRDefault="00215944" w:rsidP="0021594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944" w:rsidRPr="001C0C4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75"/>
      <w:bookmarkEnd w:id="4"/>
      <w:r w:rsidR="00215944" w:rsidRPr="001C0C44">
        <w:rPr>
          <w:rFonts w:ascii="Times New Roman" w:hAnsi="Times New Roman" w:cs="Times New Roman"/>
          <w:sz w:val="28"/>
          <w:szCs w:val="28"/>
        </w:rPr>
        <w:t>В целях проведения проверки 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нициатор проверки представляет в 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проведении проверки инвестиционного проекта на предмет эффективности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местного 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 по форме согласно приложению 2 к настоящему Порядку (далее – заявление), к которому прилагаются следующие документы: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паспорт инвестиционного проекта по </w:t>
      </w:r>
      <w:hyperlink w:anchor="Par895" w:history="1">
        <w:r w:rsidRPr="001C0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Порядку;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обоснование экономической целесообразности, объема и сроков осуществления капитальных вложений, подготовленное в соответствии с </w:t>
      </w:r>
      <w:hyperlink w:anchor="Par85" w:history="1">
        <w:r w:rsidRPr="000D0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CEC" w:rsidRP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задание на проектирование, подготовленное в соответствии с </w:t>
      </w:r>
      <w:hyperlink w:anchor="Par94" w:history="1">
        <w:r w:rsidRPr="001C0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="000D0CEC" w:rsidRP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копия положител</w:t>
      </w:r>
      <w:r w:rsidR="00FA45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заключения государственной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документальное подтверждение осуществления финансирования (софинансир</w:t>
      </w:r>
      <w:r w:rsidR="00FA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ования) инвестиционного проекта;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944" w:rsidRPr="001C0C44" w:rsidRDefault="000D0CEC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положительного заключения о достоверности определения сметной стоимости объекта капитального строительства;</w:t>
      </w:r>
    </w:p>
    <w:p w:rsidR="00215944" w:rsidRPr="001C0C44" w:rsidRDefault="000D0CEC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исходные данные для расчета интегральной оценки, включая качественные и количественные показатели (показатель) планируемых результатов реализации инвестиционного проекта, в том числе сведения и показатели результатов реализации проекта-аналога по форме согласно </w:t>
      </w:r>
      <w:r w:rsidR="00215944" w:rsidRPr="00A6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4 к настоящему Порядку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0D0CEC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расчет интегральной оценки, проведенный инициатором проверки в соответствии с Методикой;</w:t>
      </w:r>
    </w:p>
    <w:p w:rsidR="00215944" w:rsidRPr="001C0C44" w:rsidRDefault="000D0CEC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капитального строительства;</w:t>
      </w:r>
    </w:p>
    <w:p w:rsidR="00215944" w:rsidRPr="001C0C44" w:rsidRDefault="000D0CEC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правоустанавливающих документов на объект капитального строительства, в отношении которого предполагается проведение реконструкции;</w:t>
      </w:r>
    </w:p>
    <w:p w:rsidR="00215944" w:rsidRDefault="000D0CEC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15944" w:rsidRPr="00A21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5944" w:rsidRPr="00A2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износ объекта недвижимого имущества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5944" w:rsidRPr="00A21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если бюджетные инвестиции направляются на объекты капитального строительства и (или) объекты недвижимого имущества юридически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5944" w:rsidRPr="00A2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не являющи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муниципальными </w:t>
      </w:r>
      <w:r w:rsidR="00215944" w:rsidRPr="00A2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 w:rsidR="00F9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муниципальными</w:t>
      </w:r>
      <w:r w:rsidR="00F9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унитарными предприятиями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могут быть приложены иные документы, подтверждающие содержащиеся в нем сведения.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настоящем пункте, представляются с учетом положений пункта </w:t>
      </w:r>
      <w:r w:rsidRP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CEC" w:rsidRP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и документы (копии до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кументов), указанные в пункте 9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(далее – документы), подписываются (заверяются) руководителем инициатора проверки (уполномоченным им лицом) и скрепляю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печатью (при ее наличии) инициатора проверки 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ука</w:t>
      </w:r>
      <w:r w:rsid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подпунктах «в», «г», «е», «и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="000D0CEC">
        <w:rPr>
          <w:rFonts w:ascii="Times New Roman" w:eastAsia="Times New Roman" w:hAnsi="Times New Roman" w:cs="Times New Roman"/>
          <w:sz w:val="28"/>
          <w:szCs w:val="28"/>
          <w:lang w:eastAsia="ru-RU"/>
        </w:rPr>
        <w:t>л» пункта 9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подпунктах «г», «е», 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>«л» пункта 9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не представляются в отношении объектов капитального строительства, по которым подготавливается решение о предоставлении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на подготовку проектной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и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инженерных изысканий, выполняемых для подготовки такой проектной документации.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подпункте 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не представляются в отношении объектов капитального строительства.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Обоснование экономической целесообразности, объема и сроков осуществления капитальных вложений включает: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и тип (инфраструктурный, инновационный и другие) инвестиционного проекта;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реализации инвестиционного проекта;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 и задачи инвестиционного проекта;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предложения инициатора проверки по источникам и объемам финансирования инвестиционного проекта по годам его реализации, включая расчет и обоснование предельных объемов денежных средств на выполнение работ на весь период строительства, реконструкции, в том числе с элементами реставрации, техническое перевооружение объектов капитального строительства до ввода объектов в эксплуатацию, а также по объектам недвижимого имущества;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обоснование необходимости привлечения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обоснование потребности в услугах (продукции), создаваемых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</w:t>
      </w:r>
      <w:r w:rsidR="000B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(информация о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фактической потребности в производимой продукции (работах и услугах),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обеспеченности </w:t>
      </w:r>
      <w:r w:rsidR="009E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</w:t>
      </w:r>
      <w:r w:rsidR="00BA0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обоснование планируемого обеспечения создаваемого (реконструируемого)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9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на проектирование объекта капитального строительства включает в себя: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основные технико-экономические характеристики объекта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подготовки проектной документации применительно к отдельным этапам строительства;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и этапы строительства (реконструкции);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технических условиях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требования к конструкциям и оборудованию, предназначенным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ж) требования к технологическому оборудованию, предназначенному для создания объекта капитального строительства, с указанием типа и других данных по укрупненной номенклатуре;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дополнительные данные (требования к защитным сооружениям, прочие условия).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получения  документов принимает решение о проведении проверки либо об отказе в ее  проведении.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проведении проверки направляется инициатору проверки в письменном виде. Представленные инициатором проверки документы не возвращаются.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проведении проверки не является препятствием для повторного представления документов в целях проведения проверки. 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проведении проверки являются: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полного комплекта документов, предусмотренных настоящим Порядком;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несоответствие паспорта инвестиционного проекта требованиям к его содержанию и заполнению;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несоответствие числового значения интегральной оценки, рассчитанного инициатором проверки, требованиям Методики.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>Раздел I</w:t>
      </w:r>
      <w:r w:rsidRPr="001C0C44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>Порядок проверки и принятия решения по итогам проверки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944" w:rsidRPr="001C0C44">
        <w:rPr>
          <w:rFonts w:ascii="Times New Roman" w:hAnsi="Times New Roman" w:cs="Times New Roman"/>
        </w:rPr>
        <w:t xml:space="preserve"> 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оснований для отказа в проведении пр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оверки, установленных </w:t>
      </w:r>
      <w:r w:rsidR="004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получения документов осуществляет проверку в соответствии с Методикой. </w:t>
      </w:r>
    </w:p>
    <w:p w:rsidR="00215944" w:rsidRPr="00BF7631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начинается с проверки, проводимой на основе качественных критериев оценки эффективности использования 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направляемых на капитал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вложения средств местного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приведенных в 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 к Методике (далее – качественные критерии).</w:t>
      </w:r>
    </w:p>
    <w:p w:rsidR="00215944" w:rsidRPr="00BF7631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инвестиционный проект не соответствует качественным критериям, проверка на соответствие его количественным критериям и правильности расчета инициатором проверки интегральной оценки не проводится.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Инвестиционные проекты, соответствующие качественным критериям, подлежат дальнейшей проверке на основе  количественных критериев оценки эффективности использования направляемых на капитал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вложения средств местного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приведенных в приложение 2 к Методике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количественные критерии).</w:t>
      </w:r>
    </w:p>
    <w:p w:rsidR="00215944" w:rsidRPr="001C0C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инвестиционный проект не соответствует количественным критериям, проверка правильности расчета инициатором проверки интегральной оценки не проводится.</w:t>
      </w:r>
    </w:p>
    <w:p w:rsidR="00032190" w:rsidRPr="00BF7631" w:rsidRDefault="0070030F" w:rsidP="00640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установлены факты несоответствия инвестиционного проекта качественным или количественным критериям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</w:t>
      </w:r>
      <w:r w:rsidR="009312B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пунктом 16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готовит отрицательно</w:t>
      </w:r>
      <w:r w:rsidR="00BA01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BA01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5944" w:rsidRPr="001C0C44">
        <w:rPr>
          <w:rFonts w:ascii="Times New Roman" w:hAnsi="Times New Roman" w:cs="Times New Roman"/>
        </w:rPr>
        <w:t xml:space="preserve"> 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 инвестиционного проекта, финансирование которого планируется осуществлять полностью или час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за счет средств местного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предмет эффективности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="0003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капитальные вложения, по форме 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– отрицательное заключение) на предмет несоответствия инвестиционного проекта требованиям настоящего Порядка (далее – рецензии</w:t>
      </w:r>
      <w:r w:rsidR="006407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5944" w:rsidRPr="00BF7631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Инвестиционные проекты, соответствующие качественным и количественным критериям, подлежат дальнейшей проверке на основе интегральной оценки, которая определяется в соответствии с Методикой.</w:t>
      </w:r>
    </w:p>
    <w:p w:rsidR="00215944" w:rsidRDefault="0070030F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соответствия или превышения предельного значения интегральной оценки, устано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вленного Методикой, </w:t>
      </w:r>
      <w:r w:rsidR="00640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пунктом 16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</w:t>
      </w:r>
      <w:r w:rsidR="00215944" w:rsidRPr="00BF7631">
        <w:rPr>
          <w:rFonts w:ascii="Times New Roman" w:hAnsi="Times New Roman" w:cs="Times New Roman"/>
        </w:rPr>
        <w:t xml:space="preserve"> 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положительно</w:t>
      </w:r>
      <w:r w:rsidR="00BA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215944" w:rsidRPr="00BF7631">
        <w:rPr>
          <w:rFonts w:ascii="Times New Roman" w:hAnsi="Times New Roman" w:cs="Times New Roman"/>
        </w:rPr>
        <w:t xml:space="preserve"> 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 инвестиционного проекта,</w:t>
      </w:r>
      <w:r w:rsidR="00215944" w:rsidRPr="00BF7631">
        <w:rPr>
          <w:rFonts w:ascii="Times New Roman" w:hAnsi="Times New Roman" w:cs="Times New Roman"/>
        </w:rPr>
        <w:t xml:space="preserve"> 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которого планируется осуществлять полностью или час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тично за счет средств местного </w:t>
      </w:r>
      <w:r w:rsidR="00FF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предмет эффективности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="00FF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капитальные вложения, по форме согласно приложению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944" w:rsidRPr="00BF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– положительное заключение)</w:t>
      </w:r>
      <w:r w:rsidR="00215944"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1EE" w:rsidRDefault="005F4655" w:rsidP="008311EE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bookmarkStart w:id="6" w:name="_Toc420927060"/>
      <w:bookmarkStart w:id="7" w:name="_Toc420927058"/>
      <w:r w:rsidR="008311EE" w:rsidRPr="008311EE">
        <w:rPr>
          <w:rFonts w:ascii="Times New Roman" w:eastAsia="Calibri" w:hAnsi="Times New Roman" w:cs="Times New Roman"/>
          <w:sz w:val="28"/>
          <w:szCs w:val="28"/>
        </w:rPr>
        <w:t xml:space="preserve">Заключение о проверке </w:t>
      </w:r>
      <w:r w:rsidR="008311EE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8311EE" w:rsidRPr="008311EE">
        <w:rPr>
          <w:rFonts w:ascii="Times New Roman" w:eastAsia="Calibri" w:hAnsi="Times New Roman" w:cs="Times New Roman"/>
          <w:sz w:val="28"/>
          <w:szCs w:val="28"/>
        </w:rPr>
        <w:t xml:space="preserve"> подписывается лицами, проводившими проверку и утверждается главой </w:t>
      </w:r>
      <w:r w:rsidR="00F62806">
        <w:rPr>
          <w:rFonts w:ascii="Times New Roman" w:eastAsia="Calibri" w:hAnsi="Times New Roman" w:cs="Times New Roman"/>
          <w:sz w:val="28"/>
          <w:szCs w:val="28"/>
        </w:rPr>
        <w:t xml:space="preserve">Бенецкого </w:t>
      </w:r>
      <w:r w:rsidR="008311EE" w:rsidRPr="008311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15B92" w:rsidRDefault="00915B92" w:rsidP="00831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E846F1" w:rsidRPr="0060498C" w:rsidRDefault="00E846F1" w:rsidP="00215944">
      <w:pPr>
        <w:rPr>
          <w:lang w:eastAsia="ru-RU"/>
        </w:rPr>
      </w:pPr>
    </w:p>
    <w:p w:rsidR="00215944" w:rsidRPr="00F62806" w:rsidRDefault="00215944" w:rsidP="00F62806">
      <w:pPr>
        <w:pStyle w:val="1"/>
        <w:ind w:left="4395"/>
        <w:rPr>
          <w:sz w:val="28"/>
          <w:szCs w:val="28"/>
        </w:rPr>
      </w:pPr>
      <w:r w:rsidRPr="00F62806">
        <w:rPr>
          <w:sz w:val="28"/>
          <w:szCs w:val="28"/>
        </w:rPr>
        <w:lastRenderedPageBreak/>
        <w:t xml:space="preserve">Приложение </w:t>
      </w:r>
      <w:bookmarkEnd w:id="6"/>
      <w:r w:rsidRPr="00F62806">
        <w:rPr>
          <w:sz w:val="28"/>
          <w:szCs w:val="28"/>
        </w:rPr>
        <w:t>1</w:t>
      </w:r>
    </w:p>
    <w:p w:rsidR="00215944" w:rsidRPr="00F62806" w:rsidRDefault="00BB4F81" w:rsidP="00F62806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02A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44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проведения                        проверки инвестиционных проектов, финансирование которых планируется осуществлять полностью или частично за</w:t>
      </w:r>
      <w:r w:rsidR="0072181B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</w:t>
      </w:r>
      <w:r w:rsidR="003C02A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C946C8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6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6280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Бенецкое </w:t>
      </w:r>
      <w:r w:rsidR="0064076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946C8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</w:t>
      </w:r>
      <w:r w:rsidR="0064076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946C8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4076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46C8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215944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предмет эффективности </w:t>
      </w:r>
      <w:r w:rsidR="003C02A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</w:t>
      </w:r>
      <w:r w:rsidR="00C946C8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64076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6280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Бенецкого </w:t>
      </w:r>
      <w:r w:rsidR="0064076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946C8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</w:t>
      </w:r>
      <w:r w:rsidR="0064076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946C8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4076F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46C8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215944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</w:t>
      </w:r>
    </w:p>
    <w:p w:rsidR="00215944" w:rsidRPr="00F62806" w:rsidRDefault="00215944" w:rsidP="00F6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33"/>
      <w:bookmarkStart w:id="9" w:name="_Toc420927061"/>
      <w:bookmarkEnd w:id="8"/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</w:t>
      </w:r>
      <w:r w:rsidR="003C02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bookmarkEnd w:id="9"/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предназначена для оценки эффективности </w:t>
      </w:r>
      <w:r w:rsidR="003C02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0C44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 на капитальные вложения (далее –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имущества, финансовое обеспечение которых планируется осуществлять полностью или час</w:t>
      </w:r>
      <w:r w:rsidR="003C02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за счет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инвестиционный проект), и устанавливает общие требования к расчету оценки эффективности на основе качественных и количественных критериев, а также расчету интегральной оценки эффективности.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39"/>
      <w:bookmarkStart w:id="11" w:name="_Toc420927062"/>
      <w:bookmarkEnd w:id="10"/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</w:t>
      </w:r>
    </w:p>
    <w:p w:rsidR="00E846F1" w:rsidRPr="001C0C44" w:rsidRDefault="00E846F1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 основе качественных</w:t>
      </w:r>
      <w:bookmarkEnd w:id="11"/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Качественными критериями оценки эффективности являются: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соответствие цели инвестиционного проекта приоритетам и целям, определенным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прогнозом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кономического развития </w:t>
      </w:r>
      <w:r w:rsid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Бенецкого </w:t>
      </w:r>
      <w:r w:rsidR="0064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Западнодвинского района, в муниципальных программах </w:t>
      </w:r>
      <w:r w:rsid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Бенецкого </w:t>
      </w:r>
      <w:r w:rsidR="0064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документах стратегического планирования;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комплексный подход к решению конкретной проблемы в рамках инвестиционного проекта во взаимосвязи с программными мероприятиями, реали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зуемыми в рамках муниципальных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64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1FB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обходимость строительства (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реконструкции, в том числе с элементами реставрац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технического перевооружения)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строительства, и (или) необходимость приобретения объекта недвижимого имущества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отсутствие в достаточном объеме замещающей продукции (работ и услуг), производимой (выполняемых, оказываемых) иными организациями;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1C0C44">
        <w:rPr>
          <w:rFonts w:ascii="Times New Roman" w:hAnsi="Times New Roman" w:cs="Times New Roman"/>
        </w:rPr>
        <w:t xml:space="preserve"> </w:t>
      </w:r>
      <w:r w:rsidR="00E846F1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реализации инвестиционного проекта с</w:t>
      </w:r>
      <w:r w:rsidR="003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привлечением средств  </w:t>
      </w:r>
      <w:r w:rsidR="008E1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2B4A6D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6D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2B4A6D">
        <w:rPr>
          <w:rFonts w:ascii="Times New Roman" w:hAnsi="Times New Roman" w:cs="Times New Roman"/>
        </w:rPr>
        <w:t xml:space="preserve"> </w:t>
      </w:r>
      <w:r w:rsidR="008E1EB1" w:rsidRPr="002B4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D1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 муниципальных</w:t>
      </w:r>
      <w:r w:rsidRPr="002B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</w:t>
      </w:r>
      <w:r w:rsidR="000B3F02" w:rsidRPr="002B4A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E1EB1" w:rsidRPr="002B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B4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реализуемых в рамках инвестиционных проектов;</w:t>
      </w:r>
    </w:p>
    <w:p w:rsidR="0007469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наличие положительного заключения государственной экспертизы проектной документации и результатов инженерных изысканий</w:t>
      </w:r>
      <w:r w:rsidR="00074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</w:t>
      </w:r>
      <w:r w:rsidR="00D116AB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и включенной Министерством строительства и жилищно-коммунального хозяйства  Российской Федерации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типовой проектной документации.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эффективности на основе качественного критерия, предусмотренного подпунктом «г» пункта 3 настоящего раздела, в отношении приобретаемых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эффективности на основе качественных критериев рассчитывается по следующей формуле: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m:t>Ч</m:t>
              </m:r>
            </m:e>
            <m:sub>
              <m:r>
                <w:rPr>
                  <w:rFonts w:ascii="Cambria Math" w:eastAsia="Cambria Math" w:hAnsi="Times New Roman" w:cs="Times New Roman"/>
                  <w:sz w:val="36"/>
                  <w:szCs w:val="36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36"/>
              <w:szCs w:val="36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6"/>
                  <w:szCs w:val="36"/>
                  <w:lang w:eastAsia="ru-RU"/>
                </w:rPr>
                <m:t>n</m:t>
              </m:r>
              <m: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 xml:space="preserve">=1 </m:t>
              </m:r>
            </m:sub>
            <m:sup>
              <m:r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m:t>К</m:t>
              </m:r>
              <m: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>1</m:t>
              </m:r>
            </m:sup>
            <m:e>
              <m: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36"/>
                      <w:szCs w:val="36"/>
                      <w:lang w:val="en-US" w:eastAsia="ru-RU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Times New Roman" w:cs="Times New Roman"/>
                      <w:sz w:val="36"/>
                      <w:szCs w:val="36"/>
                      <w:lang w:eastAsia="ru-RU"/>
                    </w:rPr>
                    <m:t>1</m:t>
                  </m:r>
                  <m:r>
                    <w:rPr>
                      <w:rFonts w:ascii="Cambria Math" w:eastAsia="Cambria Math" w:hAnsi="Cambria Math" w:cs="Times New Roman"/>
                      <w:sz w:val="36"/>
                      <w:szCs w:val="36"/>
                      <w:lang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6"/>
                  <w:szCs w:val="36"/>
                  <w:lang w:eastAsia="ru-RU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>100%/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Times New Roman" w:eastAsia="Cambria Math" w:hAnsi="Times New Roman" w:cs="Times New Roman"/>
                          <w:sz w:val="36"/>
                          <w:szCs w:val="36"/>
                          <w:lang w:eastAsia="ru-RU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="Cambria Math" w:hAnsi="Times New Roman" w:cs="Times New Roman"/>
                          <w:sz w:val="36"/>
                          <w:szCs w:val="36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Times New Roman" w:eastAsia="Cambria Math" w:hAnsi="Times New Roman" w:cs="Times New Roman"/>
                          <w:sz w:val="36"/>
                          <w:szCs w:val="36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Cambria Math" w:hAnsi="Times New Roman" w:cs="Times New Roman"/>
                          <w:sz w:val="36"/>
                          <w:szCs w:val="36"/>
                          <w:lang w:eastAsia="ru-RU"/>
                        </w:rPr>
                        <m:t xml:space="preserve"> </m:t>
                      </m:r>
                      <m:r>
                        <w:rPr>
                          <w:rFonts w:ascii="Times New Roman" w:eastAsia="Cambria Math" w:hAnsi="Times New Roman" w:cs="Times New Roman"/>
                          <w:sz w:val="36"/>
                          <w:szCs w:val="36"/>
                          <w:lang w:eastAsia="ru-RU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="Cambria Math" w:hAnsi="Times New Roman" w:cs="Times New Roman"/>
                          <w:sz w:val="36"/>
                          <w:szCs w:val="36"/>
                          <w:lang w:eastAsia="ru-RU"/>
                        </w:rPr>
                        <m:t>1</m:t>
                      </m:r>
                      <m:r>
                        <w:rPr>
                          <w:rFonts w:ascii="Times New Roman" w:eastAsia="Cambria Math" w:hAnsi="Times New Roman" w:cs="Times New Roman"/>
                          <w:sz w:val="36"/>
                          <w:szCs w:val="36"/>
                          <w:lang w:eastAsia="ru-RU"/>
                        </w:rPr>
                        <m:t>нп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 xml:space="preserve">, </m:t>
              </m:r>
            </m:e>
          </m:nary>
        </m:oMath>
      </m:oMathPara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1i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балл оценки i-ого качественного критерия;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число качественных критериев;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1нп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критериев, не применимых к проверяемому инвестиционному проекту.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определения баллов оценки соответствия инвестиционного проекта качественным критериям, а также допустимые баллы оценки приведены</w:t>
      </w:r>
      <w:r w:rsidRPr="001C0C44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hAnsi="Times New Roman" w:cs="Times New Roman"/>
          <w:sz w:val="28"/>
          <w:szCs w:val="28"/>
        </w:rPr>
        <w:t xml:space="preserve">в </w:t>
      </w:r>
      <w:r w:rsidRPr="003B2F8E">
        <w:rPr>
          <w:rFonts w:ascii="Times New Roman" w:hAnsi="Times New Roman" w:cs="Times New Roman"/>
          <w:sz w:val="28"/>
          <w:szCs w:val="28"/>
        </w:rPr>
        <w:t>п</w:t>
      </w:r>
      <w:r w:rsidRPr="003B2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 к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Методике.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C0C44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проект признается соответствующим качественным критериям, если значение оценки эффективности на основе качественных критериев равно 100 процентам.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если значение оценки эффективности на основе качественных критериев менее 100 процентов, то инвестиционный проект признается несоответствующим качественным критериям, а </w:t>
      </w:r>
      <w:r w:rsidR="00074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признается неэффективным.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инициатором проверки интегральной оценки этого проекта.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74"/>
      <w:bookmarkStart w:id="13" w:name="_Toc420927063"/>
      <w:bookmarkEnd w:id="12"/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3"/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 основе количественных критериев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Инвестиционные проекты, соответствующие качественным критериям, подлежат дальнейшей проверке на основе количественных критериев оценки эффективности.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Количественными критериями оценки эффективности являются: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значения количественных показателей (показателя) результатов реализации инвестиционного проекта;</w:t>
      </w:r>
    </w:p>
    <w:p w:rsidR="00215944" w:rsidRPr="003B2F8E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</w:r>
      <w:r w:rsidR="003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(сравнение с проектом-аналогом)</w:t>
      </w:r>
      <w:r w:rsidRPr="003B2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потребителей продукции (услуг), создаваемой (оказываемых) в результате реализации инвестиционного проекта, в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215944" w:rsidRPr="001C0C44" w:rsidRDefault="00215944" w:rsidP="00215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(оказания) продукции (услуг) в объеме, предусмотренном</w:t>
      </w:r>
      <w:r w:rsidR="003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муниципальных  нужд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944" w:rsidRPr="003B2F8E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планируемого объема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</w:r>
      <w:r w:rsidRPr="00D34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Оценка эффективности на основе количественных критериев рассчитывается по следующей формуле: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3223A2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m:t>Ч</m:t>
              </m:r>
            </m:e>
            <m:sub>
              <m:r>
                <w:rPr>
                  <w:rFonts w:ascii="Cambria Math" w:eastAsia="Cambria Math" w:hAnsi="Times New Roman" w:cs="Times New Roman"/>
                  <w:sz w:val="36"/>
                  <w:szCs w:val="36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sz w:val="36"/>
              <w:szCs w:val="36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6"/>
                  <w:szCs w:val="36"/>
                  <w:lang w:eastAsia="ru-RU"/>
                </w:rPr>
                <m:t>i</m:t>
              </m:r>
              <m: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 xml:space="preserve">=1 </m:t>
              </m:r>
            </m:sub>
            <m:sup>
              <m:r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m:t>К</m:t>
              </m:r>
              <m: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>2</m:t>
              </m:r>
            </m:sup>
            <m:e>
              <m:r>
                <w:rPr>
                  <w:rFonts w:ascii="Cambria Math" w:eastAsia="Times New Roman" w:hAnsi="Times New Roman" w:cs="Times New Roman"/>
                  <w:sz w:val="36"/>
                  <w:szCs w:val="36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36"/>
                      <w:szCs w:val="36"/>
                      <w:lang w:val="en-US" w:eastAsia="ru-RU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Times New Roman" w:cs="Times New Roman"/>
                      <w:sz w:val="36"/>
                      <w:szCs w:val="36"/>
                      <w:lang w:eastAsia="ru-RU"/>
                    </w:rPr>
                    <m:t>2</m:t>
                  </m:r>
                  <m:r>
                    <w:rPr>
                      <w:rFonts w:ascii="Cambria Math" w:eastAsia="Cambria Math" w:hAnsi="Cambria Math" w:cs="Times New Roman"/>
                      <w:sz w:val="36"/>
                      <w:szCs w:val="36"/>
                      <w:lang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6"/>
                  <w:szCs w:val="36"/>
                  <w:lang w:eastAsia="ru-RU"/>
                </w:rPr>
                <m:t>*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36"/>
                          <w:szCs w:val="36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36"/>
                          <w:szCs w:val="36"/>
                          <w:lang w:eastAsia="ru-RU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="Times New Roman" w:hAnsi="Times New Roman" w:cs="Times New Roman"/>
              <w:sz w:val="36"/>
              <w:szCs w:val="36"/>
              <w:lang w:eastAsia="ru-RU"/>
            </w:rPr>
            <m:t>,</m:t>
          </m:r>
        </m:oMath>
      </m:oMathPara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2i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балл оценки i-ого количественного критерия;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i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весовой коэффициент i-ого количественного критерия, в процентах;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число количественных критериев.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весовых коэффициентов по всем количественным критериям составляет 100 процентов.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Порядок определения баллов оценки соответствия инвестиционного проекта количественным критериям, а также допустимые баллы оценки </w:t>
      </w:r>
      <w:r w:rsidRPr="008E1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приложении 2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Методике.</w:t>
      </w:r>
    </w:p>
    <w:p w:rsidR="00215944" w:rsidRPr="008E1BCA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1C0C44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весовых коэффициентов количественных критериев приведены </w:t>
      </w:r>
      <w:r w:rsidRPr="008E1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к настоящей Методике.</w:t>
      </w:r>
    </w:p>
    <w:p w:rsidR="00215944" w:rsidRPr="008E1BCA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C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E1BCA">
        <w:rPr>
          <w:rFonts w:ascii="Times New Roman" w:hAnsi="Times New Roman" w:cs="Times New Roman"/>
        </w:rPr>
        <w:t xml:space="preserve"> </w:t>
      </w:r>
      <w:r w:rsidRPr="008E1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количественные показатели, характеризующие результаты реализации инвестиционного проекта, приведены в приложении 4 к настоящей Методике.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C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Инвестиционный проект признается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количественным критериям, если значение оценки эффективности на основе количественных критериев превышает 70 процентов.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если значение оценки эффективности на основе количественных критериев менее или равно 70 процентов, то инвестиционный проект признается несоответствующим количественным критериям, а </w:t>
      </w:r>
      <w:r w:rsidR="00374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BA0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признается неэффективным.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239"/>
      <w:bookmarkStart w:id="15" w:name="Par282"/>
      <w:bookmarkStart w:id="16" w:name="_Toc420927064"/>
      <w:bookmarkEnd w:id="14"/>
      <w:bookmarkEnd w:id="15"/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интегральной оценки эффективности</w:t>
      </w:r>
      <w:bookmarkEnd w:id="16"/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Интегральная оценка (Э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инт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эффективности инвестиционного проекта рассчитывается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инт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= Ч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* 0,2 + Ч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* 0,8  ,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на основе качественных критериев;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C0C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на основе количественных критериев;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и 0,8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весовые коэффициенты оценок эффективности на основе качественных и количественных критериев соответственно.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Расчет интегральной оценки инвестиционного проекта осуществляется инициатором проверки по форме согласно </w:t>
      </w:r>
      <w:r w:rsidRPr="008E1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5 к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Методике.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осуществлении оценки эффективности предельное (минимальное) значение интегральной оценки эффективности устанавливается равным 70 процентам. Соответствие или превышение числового значения интегральной оценки эффективности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</w:t>
      </w:r>
      <w:r w:rsidR="00374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за счет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5944" w:rsidRPr="001C0C44" w:rsidSect="00915B92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215944" w:rsidRPr="008E1BCA" w:rsidRDefault="00215944" w:rsidP="00215944">
      <w:pPr>
        <w:pStyle w:val="1"/>
        <w:ind w:left="9072"/>
        <w:jc w:val="both"/>
        <w:rPr>
          <w:sz w:val="28"/>
          <w:szCs w:val="28"/>
        </w:rPr>
      </w:pPr>
      <w:bookmarkStart w:id="17" w:name="Par317"/>
      <w:bookmarkEnd w:id="17"/>
      <w:r w:rsidRPr="008E1BCA">
        <w:rPr>
          <w:sz w:val="28"/>
          <w:szCs w:val="28"/>
        </w:rPr>
        <w:lastRenderedPageBreak/>
        <w:t>Приложение  1</w:t>
      </w:r>
    </w:p>
    <w:p w:rsidR="00215944" w:rsidRPr="001C0C44" w:rsidRDefault="00215944" w:rsidP="00215944">
      <w:pPr>
        <w:pStyle w:val="1"/>
        <w:ind w:left="9072"/>
        <w:jc w:val="both"/>
        <w:rPr>
          <w:sz w:val="28"/>
          <w:szCs w:val="28"/>
        </w:rPr>
      </w:pPr>
      <w:r w:rsidRPr="001C0C44">
        <w:rPr>
          <w:sz w:val="28"/>
          <w:szCs w:val="28"/>
        </w:rPr>
        <w:t xml:space="preserve">к Методике оценки эффективности </w:t>
      </w:r>
      <w:r w:rsidR="00AC32E8">
        <w:rPr>
          <w:sz w:val="28"/>
          <w:szCs w:val="28"/>
        </w:rPr>
        <w:t>использования средств местного бюджета</w:t>
      </w:r>
      <w:r w:rsidRPr="001C0C44">
        <w:rPr>
          <w:sz w:val="28"/>
          <w:szCs w:val="28"/>
        </w:rPr>
        <w:t>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инвестиционного проекта качественным критериям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2"/>
        <w:gridCol w:w="3073"/>
        <w:gridCol w:w="1109"/>
        <w:gridCol w:w="1936"/>
        <w:gridCol w:w="5382"/>
        <w:gridCol w:w="2624"/>
      </w:tblGrid>
      <w:tr w:rsidR="00215944" w:rsidRPr="001C0C44" w:rsidTr="00915B92">
        <w:trPr>
          <w:tblHeader/>
        </w:trPr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5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качественного критерия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Допус-тимые баллы оценки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 оценки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  <w:lang w:eastAsia="ru-RU"/>
                    </w:rPr>
                    <m:t>(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)</m:t>
              </m:r>
            </m:oMath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 «Критерий не применим»)</w:t>
            </w: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определения баллов оценки</w:t>
            </w:r>
          </w:p>
        </w:tc>
        <w:tc>
          <w:tcPr>
            <w:tcW w:w="2692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 подтверждение критерия</w:t>
            </w:r>
          </w:p>
        </w:tc>
      </w:tr>
      <w:tr w:rsidR="00215944" w:rsidRPr="001C0C44" w:rsidTr="00915B92">
        <w:trPr>
          <w:tblHeader/>
        </w:trPr>
        <w:tc>
          <w:tcPr>
            <w:tcW w:w="67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2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 0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Конечные социально-экономические результаты реализации проекта - эффект для потребителей, населения, получаемый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товаров, работ или услуг, произведенных после реализации инвестиционного проекта</w:t>
            </w: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и задачи инвестиционного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приводятся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3154" w:type="dxa"/>
          </w:tcPr>
          <w:p w:rsidR="00215944" w:rsidRPr="001C0C44" w:rsidRDefault="00215944" w:rsidP="00F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цели инвестиционного проекта приоритетам и целям, определенным 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прогнозом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социально-экономич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еского развития </w:t>
            </w:r>
            <w:r w:rsidR="00F6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Бенецкого 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3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ападнодвинского района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муниципальных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программах 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D3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 0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</w:t>
            </w: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Приводится наименование документа, приоритет и цель,  которым соответствует цель инвестиционного проекта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4" w:type="dxa"/>
          </w:tcPr>
          <w:p w:rsidR="00E846F1" w:rsidRDefault="00215944" w:rsidP="00A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подход к решению конкретной проблемы в рамках инвестиционного</w:t>
            </w:r>
          </w:p>
          <w:p w:rsidR="00E846F1" w:rsidRDefault="00E846F1" w:rsidP="00A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6F1" w:rsidRDefault="00E846F1" w:rsidP="00AC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Pr="001C0C44" w:rsidRDefault="00215944" w:rsidP="0091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проекта во взаимосвязи с программными мероприятиями, реали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зуемыми в рамках муниципальных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AC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 0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1, присваивается инвестиционному проекту, подлежащему включению (включенному) в указанные программы, в случае соответствия цели инвестиционного проекта задаче программного мероприятия, решение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которой обеспечивает реализация предлагаемого инвестиционного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944" w:rsidRPr="001C0C44" w:rsidRDefault="00215944" w:rsidP="0091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инвестиционных проектов, подлеж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ащих включению в муниципальные 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  <w:r w:rsidRPr="001C0C44">
              <w:rPr>
                <w:rFonts w:ascii="Times New Roman" w:hAnsi="Times New Roman" w:cs="Times New Roman"/>
              </w:rPr>
              <w:t xml:space="preserve"> </w:t>
            </w:r>
          </w:p>
          <w:p w:rsidR="00E846F1" w:rsidRDefault="00215944" w:rsidP="00D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инвестиционных проектов, не подлежащих включению в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указываются </w:t>
            </w:r>
          </w:p>
          <w:p w:rsidR="00215944" w:rsidRPr="001C0C44" w:rsidRDefault="00215944" w:rsidP="00D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заключения, содержащего оценку влияния реализации инвестиционного проекта на комплексное развитие 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Западнодвинского района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54" w:type="dxa"/>
          </w:tcPr>
          <w:p w:rsidR="00215944" w:rsidRPr="001C0C44" w:rsidRDefault="00215944" w:rsidP="00D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строительства,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реконструкции, в том числе с элементами реставрац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ии, технического перевооружения)</w:t>
            </w:r>
            <w:r w:rsidR="00D3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капитального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строительства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(или) необходимость приобретения объекта недвижимого имущества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 0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 при наличии обоснования невозможност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осуществления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органом местного самоуправления муниципального образования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Бенецкого 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Западнодвинск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Тверской области полн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омочий, отнесенных к предмету его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ведения: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без приобретения объекта недвижимого имущества  (с документальным подтверждением необходимости осуществления мероприятий по их реализации: указание степени изношенности приобретаемого объекта)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DB67AF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Обоснование необходимости </w:t>
            </w:r>
            <w:r w:rsidR="00DB67AF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строительства,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B67AF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реконструкции, в том числе с элементами реставрац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ии, технического 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перевооружения) </w:t>
            </w:r>
            <w:r w:rsidR="00DB67AF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капитального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строительства, и (или) необходимости</w:t>
            </w:r>
            <w:r w:rsidR="00DB67AF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приобретения объекта недвижимого имущества</w:t>
            </w:r>
            <w:r w:rsidR="00DB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944" w:rsidRPr="001C0C44" w:rsidRDefault="00DB67AF" w:rsidP="00D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по данному критерию в отношении объектов недвижимого имущества осуществляется путем обоснования необходимости приобретения объекта недвижимого 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5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в достаточном объеме замещающей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продукции (работ и услуг), производимой (выполняемых, оказываемых) иными организациями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 0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 в случае, если в рамках инвестиционного проекта предполагается: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производство (выполнение, оказание) продукции (работ и услуг), не имеющей мировых и отечественных аналогов;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производство (выполнение, оказание) импортозамещающей продукции (работ и услуг);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производство (выполнение, оказание) продукции (работ и услуг), спрос на которые с учетом производства замещающей продукции удовлетворяется не в полном объеме</w:t>
            </w: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Указываются объемы, основные характеристики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продукции (работ и услуг), не имеющей мировых и отечественных аналогов, либо замещаемой импортируемой продукции (работ и услуг);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54" w:type="dxa"/>
          </w:tcPr>
          <w:p w:rsidR="00215944" w:rsidRPr="001C0C44" w:rsidRDefault="00215944" w:rsidP="00AA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необходимости реализации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инвестиционного проекта с привлечением средств </w:t>
            </w:r>
            <w:r w:rsidR="00A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 0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1, присваивается в случае, если строительство, реконструкция, в том числе с элементами реставрации,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техническое перевооружение объекта капи</w:t>
            </w:r>
            <w:r w:rsidR="00A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тального строительства муниципальной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собственности, либо приобретение объекта</w:t>
            </w:r>
            <w:r w:rsidR="00A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недвижимого имущества муниципальной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собственности, создаваемого в рамках инвестиционного проекта, предусмотрено муниципальными программами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предусмотрено поручениями Губернатора Тверской области</w:t>
            </w:r>
            <w:r w:rsidR="00A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инвестиционным проектам, финансирование которых планируется осуществлять час</w:t>
            </w:r>
            <w:r w:rsidR="00A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тично за счет средств местного бюджета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балл, равный 1, присваивается при его соответствии также следующим требованиям:</w:t>
            </w:r>
          </w:p>
          <w:p w:rsidR="00541283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наличие документального подтверждения осуществления финансирования (софинансирования) инвестиционного проекта, намечаемом объеме и сроках финансирования (софинансирования), полученное от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каждого участника реализации инвестиционного проекта;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соответствие предполагаемого объема и сроков софинансирования инвестиционного проекта в представленных документах объему и срокам софинансирования, предусмотренным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спортом инвестиционного проекта</w:t>
            </w:r>
            <w:r w:rsidR="00D3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2" w:type="dxa"/>
          </w:tcPr>
          <w:p w:rsidR="00541283" w:rsidRDefault="00215944" w:rsidP="00D116A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Указываются наименова</w:t>
            </w:r>
            <w:r w:rsidR="0026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 и реквизиты </w:t>
            </w:r>
          </w:p>
          <w:p w:rsidR="00541283" w:rsidRDefault="00264BBF" w:rsidP="00D116A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в которую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 инвестиционный проект</w:t>
            </w:r>
            <w:r w:rsidR="00215944" w:rsidRPr="0031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поручения Губернатора Тверской области,</w:t>
            </w:r>
            <w:r w:rsidR="00215944" w:rsidRPr="0031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иных документов (договоров, протоколов, соглашений и т.п.), подтверждающих намерения участников инвестиционного </w:t>
            </w:r>
          </w:p>
          <w:p w:rsidR="00215944" w:rsidRPr="001C0C44" w:rsidRDefault="00215944" w:rsidP="00D116A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о его финансировании (софинансирова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нии) с указанием планируемого </w:t>
            </w:r>
            <w:r w:rsidR="0026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объема капитальных вложений со </w:t>
            </w:r>
            <w:r w:rsidR="0026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объема капитальных вложений со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 каждого участника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54" w:type="dxa"/>
          </w:tcPr>
          <w:p w:rsidR="00215944" w:rsidRPr="001C0C44" w:rsidRDefault="00D116AB" w:rsidP="002F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муниципальных 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</w:t>
            </w:r>
            <w:r w:rsidR="00215944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собственности, реализуемых в рамках инвестиционного проекта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1;0;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рите-рий не приме-ним</w:t>
            </w: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 в случае, если инициатором проверки  ук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аны наименование муниципальных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рамках которых планируется реализация инвестиционного проекта, а также документально подтвержденное обязател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ьство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Тверской области по финансированию инвестиционного проекта в объеме и в сроки, предусмотренные паспортом инвестиционного проекта.</w:t>
            </w:r>
          </w:p>
          <w:p w:rsidR="00215944" w:rsidRPr="001C0C44" w:rsidRDefault="00215944" w:rsidP="002F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не применим в отношении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инвестиционных проектов, предполагающих строительство, реконструкцию, в том числе с элементами реставрации, техническое перевооружение объектов капитального строительства, не относящихся к </w:t>
            </w:r>
            <w:r w:rsidR="002F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в отношении инвестиционных проектов, предполагающих приобретение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недвижимого имущества</w:t>
            </w: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Указыв</w:t>
            </w:r>
            <w:r w:rsidR="000B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наименование муниципальной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программы, в рамках которой планируется реализация инвестиционного проекта.   Документально подтвержденное                                                               </w:t>
            </w:r>
            <w:r w:rsidR="000B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обязательство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финансированию инвестиционного проекта в объеме и в сроки, предусмотренные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спортом инвестиционного проекта</w:t>
            </w: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5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  <w:r w:rsidR="000B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1;0;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рите-рий не приме-ним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присваивается: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 наличии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если инициатором проверки указан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 подпункта, пункта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не применим к инвестиционным проектам, по которым подготавливается решение о предоставлении средств на подготовку проектной документации и проведение инженерных изысканий, выполняемых для подготовки такой проектной документации, а также к инвестиционным проектам, предполагающим приобретение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недвижимого имущества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tabs>
                <w:tab w:val="left" w:pos="0"/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Реквизиты положительного заключения государственной экспертизы проектной документации и результатов инженерных изысканий (в случае, если проведение такой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экспертизы в соответствии с законодательством Российской Федерации является обязательным).</w:t>
            </w:r>
          </w:p>
          <w:p w:rsidR="00215944" w:rsidRDefault="00215944" w:rsidP="00915B9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проведение государственной экспертизы проектной документации не требуется, указывается ссылка на соответствующие пункты, подпункты, статьи 49 Градостроитель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кодекса Российской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  <w:p w:rsidR="00215944" w:rsidRPr="001C0C44" w:rsidRDefault="00215944" w:rsidP="00915B9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1C0C44" w:rsidTr="00915B92">
        <w:tc>
          <w:tcPr>
            <w:tcW w:w="67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154" w:type="dxa"/>
          </w:tcPr>
          <w:p w:rsidR="00215944" w:rsidRPr="001C0C44" w:rsidRDefault="00215944" w:rsidP="000B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</w:t>
            </w:r>
            <w:r w:rsidR="00D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включенной Министерством строительства</w:t>
            </w:r>
            <w:r w:rsidR="00B1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жилищно-коммунального хозяйства  Российской Федерации </w:t>
            </w:r>
            <w:r w:rsidR="000B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реестр типовой проектной документации.</w:t>
            </w:r>
          </w:p>
        </w:tc>
        <w:tc>
          <w:tcPr>
            <w:tcW w:w="11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1;0;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рите-рий не приме-ним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присваивается, если: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инициатором проверки применяется типовая проектная документация, разработанная для аналогичного объекта капитального строительства и включенная в реестр типовой проектной документации, сформированн</w:t>
            </w:r>
            <w:r w:rsidR="0054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Министерством строительства и жилищного-коммунального</w:t>
            </w:r>
            <w:r w:rsidR="0091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хозяйства Российской Федерации</w:t>
            </w:r>
            <w:r w:rsidR="000B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реестре типовой проектной документации отсутствует проект, соответствующий характеристикам проектируемого объекта.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разработана), либо права на использование типовой проектной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документации, информация о которой включена в реестр типовой проектной документации, приобретены (будут приобретены) без </w:t>
            </w:r>
            <w:r w:rsidR="006F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средств местного</w:t>
            </w:r>
            <w:r w:rsidR="0078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не применим к инвестиционным проектам, по которым подготавливается решение о п</w:t>
            </w:r>
            <w:r w:rsidR="006F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редоставлении средств местного бюджета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не применим к инвестиционным проектам, которые предполагают строительство особо опасных, технически сложных, уникальных объектов капитального строительства, реконструкцию, в том числе с элементами реставрации, техническое перевооружение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капитального строительства, а также приобретение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недвижимого имущества</w:t>
            </w:r>
          </w:p>
        </w:tc>
        <w:tc>
          <w:tcPr>
            <w:tcW w:w="2692" w:type="dxa"/>
          </w:tcPr>
          <w:p w:rsidR="00215944" w:rsidRPr="001C0C44" w:rsidRDefault="00215944" w:rsidP="00915B92">
            <w:pPr>
              <w:widowControl w:val="0"/>
              <w:tabs>
                <w:tab w:val="left" w:pos="0"/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Предоставляется документальное подтверждение права применения типовой  проектной документации, а также копия положительного заключения                                                            государственной экспертизы проектной документации</w:t>
            </w:r>
          </w:p>
          <w:p w:rsidR="00215944" w:rsidRPr="001C0C44" w:rsidRDefault="00215944" w:rsidP="00915B92">
            <w:pPr>
              <w:widowControl w:val="0"/>
              <w:tabs>
                <w:tab w:val="left" w:pos="0"/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15944" w:rsidRPr="001C0C44" w:rsidRDefault="00215944" w:rsidP="00915B92">
            <w:pPr>
              <w:widowControl w:val="0"/>
              <w:tabs>
                <w:tab w:val="left" w:pos="0"/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</w:tc>
      </w:tr>
    </w:tbl>
    <w:p w:rsidR="00215944" w:rsidRPr="001C0C44" w:rsidRDefault="00215944" w:rsidP="00215944">
      <w:pPr>
        <w:spacing w:after="0" w:line="240" w:lineRule="auto"/>
        <w:rPr>
          <w:rFonts w:ascii="Times New Roman" w:hAnsi="Times New Roman" w:cs="Times New Roman"/>
          <w:lang w:eastAsia="ru-RU"/>
        </w:rPr>
      </w:pPr>
      <w:bookmarkStart w:id="18" w:name="Par501"/>
      <w:bookmarkEnd w:id="18"/>
    </w:p>
    <w:p w:rsidR="00215944" w:rsidRDefault="00215944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541283" w:rsidRDefault="00541283" w:rsidP="00215944">
      <w:pPr>
        <w:rPr>
          <w:lang w:eastAsia="ru-RU"/>
        </w:rPr>
      </w:pPr>
    </w:p>
    <w:p w:rsidR="00215944" w:rsidRPr="008E1BCA" w:rsidRDefault="00215944" w:rsidP="00215944">
      <w:pPr>
        <w:pStyle w:val="1"/>
        <w:ind w:left="9214"/>
        <w:jc w:val="both"/>
        <w:rPr>
          <w:rFonts w:eastAsia="Calibri"/>
          <w:sz w:val="28"/>
          <w:szCs w:val="28"/>
        </w:rPr>
      </w:pPr>
      <w:r w:rsidRPr="008E1BCA">
        <w:rPr>
          <w:rFonts w:eastAsia="Calibri"/>
          <w:sz w:val="28"/>
          <w:szCs w:val="28"/>
        </w:rPr>
        <w:lastRenderedPageBreak/>
        <w:t>Приложение  2</w:t>
      </w:r>
    </w:p>
    <w:p w:rsidR="00215944" w:rsidRPr="001C0C44" w:rsidRDefault="00215944" w:rsidP="00215944">
      <w:pPr>
        <w:pStyle w:val="1"/>
        <w:ind w:left="9214"/>
        <w:jc w:val="both"/>
        <w:rPr>
          <w:rFonts w:eastAsia="Calibri"/>
          <w:sz w:val="28"/>
          <w:szCs w:val="28"/>
        </w:rPr>
      </w:pPr>
      <w:r w:rsidRPr="001C0C44">
        <w:rPr>
          <w:rFonts w:eastAsia="Calibri"/>
          <w:sz w:val="28"/>
          <w:szCs w:val="28"/>
        </w:rPr>
        <w:t>к Методике оценки эффективности использо</w:t>
      </w:r>
      <w:r w:rsidR="000054F9">
        <w:rPr>
          <w:rFonts w:eastAsia="Calibri"/>
          <w:sz w:val="28"/>
          <w:szCs w:val="28"/>
        </w:rPr>
        <w:t>вания средств местного бюджета</w:t>
      </w:r>
      <w:r w:rsidRPr="001C0C44">
        <w:rPr>
          <w:rFonts w:eastAsia="Calibri"/>
          <w:sz w:val="28"/>
          <w:szCs w:val="28"/>
        </w:rPr>
        <w:t>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>Оценка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>соответствия инвестиционного проекта количественным критериям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934"/>
        <w:gridCol w:w="1521"/>
        <w:gridCol w:w="1383"/>
        <w:gridCol w:w="1522"/>
        <w:gridCol w:w="4136"/>
        <w:gridCol w:w="2347"/>
      </w:tblGrid>
      <w:tr w:rsidR="00215944" w:rsidRPr="001C0C44" w:rsidTr="00915B92">
        <w:trPr>
          <w:tblHeader/>
        </w:trPr>
        <w:tc>
          <w:tcPr>
            <w:tcW w:w="53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09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количественных критериев</w:t>
            </w:r>
          </w:p>
        </w:tc>
        <w:tc>
          <w:tcPr>
            <w:tcW w:w="93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До-пус-ти-мые бал-лы оцен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521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 оценки </w:t>
            </w:r>
            <w:r w:rsidRPr="0013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)</m:t>
              </m:r>
            </m:oMath>
          </w:p>
        </w:tc>
        <w:tc>
          <w:tcPr>
            <w:tcW w:w="1383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Весовой коэффи-циент критерия 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Cambria Math" w:hAnsi="Times New Roman" w:cs="Times New Roman"/>
                  <w:sz w:val="28"/>
                  <w:szCs w:val="28"/>
                  <w:lang w:eastAsia="ru-RU"/>
                </w:rPr>
                <m:t>(</m:t>
              </m:r>
              <m:r>
                <w:rPr>
                  <w:rFonts w:ascii="Times New Roman" w:eastAsia="Cambria Math" w:hAnsi="Times New Roman" w:cs="Times New Roman"/>
                  <w:sz w:val="28"/>
                  <w:szCs w:val="28"/>
                  <w:lang w:eastAsia="ru-RU"/>
                </w:rPr>
                <m:t>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eastAsia="ru-RU"/>
                </w:rPr>
                <m:t>i</m:t>
              </m:r>
              <m:r>
                <w:rPr>
                  <w:rFonts w:ascii="Cambria Math" w:eastAsia="Cambria Math" w:hAnsi="Times New Roman" w:cs="Times New Roman"/>
                  <w:sz w:val="28"/>
                  <w:szCs w:val="28"/>
                  <w:lang w:eastAsia="ru-RU"/>
                </w:rPr>
                <m:t>)</m:t>
              </m:r>
            </m:oMath>
            <w:r w:rsidRPr="0013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</w:p>
          <w:p w:rsidR="00215944" w:rsidRPr="00134800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22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Средне-взвешен-ный балл</w:t>
            </w:r>
          </w:p>
          <w:p w:rsidR="00215944" w:rsidRPr="001C0C44" w:rsidRDefault="003223A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Times New Roman" w:cs="Times New Roman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х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  <w:lang w:eastAsia="ru-RU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,</m:t>
                </m:r>
              </m:oMath>
            </m:oMathPara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136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определения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 оценки</w:t>
            </w:r>
          </w:p>
        </w:tc>
        <w:tc>
          <w:tcPr>
            <w:tcW w:w="2347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или  подтверждение критерия</w:t>
            </w:r>
          </w:p>
        </w:tc>
      </w:tr>
      <w:tr w:rsidR="00215944" w:rsidRPr="001C0C44" w:rsidTr="00915B92">
        <w:trPr>
          <w:tblHeader/>
        </w:trPr>
        <w:tc>
          <w:tcPr>
            <w:tcW w:w="53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2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7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15944" w:rsidRPr="001C0C44" w:rsidTr="00915B92">
        <w:tc>
          <w:tcPr>
            <w:tcW w:w="5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 0</w:t>
            </w:r>
          </w:p>
        </w:tc>
        <w:tc>
          <w:tcPr>
            <w:tcW w:w="1521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представлены значения количественных показателей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 его реализации, которые должны отвечать следующим требованиям: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строительства (объекта недвижимого имущества), общая площадь объекта капитального строительства (объекта недвижимого имущества), общий строительный объем), с указанием единиц измерения в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Общероссийским классификатором единиц измерения;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наличие не менее одного показателя, характеризующего конечные социально-экономические результаты реа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лизации инвестиционного проекта</w:t>
            </w:r>
          </w:p>
        </w:tc>
        <w:tc>
          <w:tcPr>
            <w:tcW w:w="2347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Значения количественных показателей, результатов реализации инвестиционного проекта в соответствии с паспортом инвестиционного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 (рекомендуемые количественные показатели, характеризую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щие цель и результаты реализации инвестиционного проекта, приведены в </w:t>
            </w:r>
            <w:r w:rsidRPr="0001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приложении 4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Методике)</w:t>
            </w:r>
          </w:p>
        </w:tc>
      </w:tr>
      <w:tr w:rsidR="00215944" w:rsidRPr="001C0C44" w:rsidTr="00915B92">
        <w:tc>
          <w:tcPr>
            <w:tcW w:w="5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сметной стоимости или предполагаемой (предельной) стоимости объекта капитального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строительства либо стоимости приобретения объекта недвижимого имущества, входящих в состав инвестиционного проекта,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1;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0,5;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ри-те-рий не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при-ме-ним</w:t>
            </w:r>
          </w:p>
        </w:tc>
        <w:tc>
          <w:tcPr>
            <w:tcW w:w="1521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инвестиционного проекта, предполагающего строительство, реконструкцию, в том числе с элементами реставрации, техническое перевооружение объектов капитального строительства: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1, присваивается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не превышает аналогичного значения (значений) показателей (показателя) по проекту-аналогу  или значения укрупненного норматива цены строительства соответствующего вида объекта капитального строительства аналогичной мощности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условии отсутствия проекта-аналога);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0,75,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рисваивается инвестиционному проекту,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значение отношения сметной стоимости предлагаемого объекта капитального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 не более чем на 5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процентов;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0,5,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присваивается инвестиционному проекту, 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значение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отношения сметной стоимости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редлагаемого объекта капитального строительства 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 условии отсутствия </w:t>
            </w:r>
            <w:r w:rsidRPr="0029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проекта-аналога)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чем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процентов;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0, присваивается инвестиционному проекту 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если значение отношения сметной стоимости предлагаемого объекта капитального строительства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</w:t>
            </w:r>
            <w:r w:rsidRPr="0029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 </w:t>
            </w:r>
            <w:r w:rsidRPr="0029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условии отсутствия проекта-аналога)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чем на 10 процентов.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:rsidR="00215944" w:rsidRDefault="00215944" w:rsidP="00915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Приводятся расчеты на основании данных по проекту-аналогу, реализуемому (или реализованному)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Центральном федеральном округе Российской Федерации.</w:t>
            </w:r>
            <w:r>
              <w:t xml:space="preserve"> </w:t>
            </w:r>
            <w:r w:rsidRPr="00F21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отношении приобретаемых объектов недвижимого имущества определяется рыночная стоимость приобретаемого объекта недвижимого имущества, указанная в </w:t>
            </w:r>
            <w:r w:rsidRPr="00F21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отчете об оценке данного объекта, составленном в порядке, предусмотрен-ном законода-тельством Российской Федерации об оценочной деятельности</w:t>
            </w:r>
          </w:p>
          <w:p w:rsidR="00215944" w:rsidRPr="007C03D6" w:rsidRDefault="00215944" w:rsidP="00915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1C0C44" w:rsidTr="00915B92">
        <w:tc>
          <w:tcPr>
            <w:tcW w:w="5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потребителей продукции (услуг), создаваемой (оказываемых) в результате реализации инвестиционного проекта, в количестве, достаточном для обеспечения проектируемого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9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0,5;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1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0,5, присваивается, если потребность в данной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процентов проектной мощности.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инвестиционного проекта объекта капитального строительства в размере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процентов проектной мощности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Обоснование спроса (потребности) на продукцию (услуги), создаваемую (оказываемые) в результате реализации инвестиционного проекта, для обеспечения проектируемого (нормативного)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уровня использования проектной мощности объекта.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продукции (услугах) определяется на момент ввода создаваемого (реконструи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руемого) в рамках реализации инвестиционного проекта объекта капитального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строительства 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уже созданных и создаваемых мощнос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тей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данной сфере деятельности</w:t>
            </w:r>
          </w:p>
        </w:tc>
      </w:tr>
      <w:tr w:rsidR="00215944" w:rsidRPr="001C0C44" w:rsidTr="00915B92">
        <w:tc>
          <w:tcPr>
            <w:tcW w:w="5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</w:tcPr>
          <w:p w:rsidR="00215944" w:rsidRPr="001C0C44" w:rsidRDefault="00215944" w:rsidP="00B1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проектной мощности создаваемого (реконструируе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мого) объекта капитального строительства (мощности приобретаемого объекта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недвижимого имущества) к мощности, необходимой для производства (оказания) продукции (услуг) в объеме, предусмотренном для обеспечения </w:t>
            </w:r>
            <w:r w:rsidR="00B1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нужд.</w:t>
            </w:r>
            <w:r w:rsidR="00B134D7"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4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 0</w:t>
            </w:r>
          </w:p>
        </w:tc>
        <w:tc>
          <w:tcPr>
            <w:tcW w:w="1521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Балл, равный 1, присваивается, если отношение проектной мощности создаваемого (реконструируемого, приобретаемого) объекта капитального строительства (объекта недвижимого имущества) к мощности, необходимой для производства продукции (услуг) в объеме, предусмотренном для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</w:t>
            </w:r>
            <w:r w:rsidR="00D2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</w:t>
            </w:r>
            <w:r w:rsidR="005F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превышает 100 процентов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:rsidR="00215944" w:rsidRPr="001C0C44" w:rsidRDefault="00215944" w:rsidP="00B1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Приводятся документально подтвержденные данные о мощности, необходимой для производства продукции (услуг) в объеме, предусмотрен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для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</w:t>
            </w:r>
            <w:r w:rsidR="00B1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нужд.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Инициатор проверки приводит обоснования потребности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проектной мощности 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 капитального строительства</w:t>
            </w:r>
          </w:p>
        </w:tc>
      </w:tr>
      <w:tr w:rsidR="00215944" w:rsidRPr="001C0C44" w:rsidTr="00915B92">
        <w:tc>
          <w:tcPr>
            <w:tcW w:w="534" w:type="dxa"/>
          </w:tcPr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планируемого объема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(объекта недвижимого имущества)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инженерной и транспортной инфраструктурой в объемах, достаточных для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инвестиционного проекта</w:t>
            </w:r>
          </w:p>
        </w:tc>
        <w:tc>
          <w:tcPr>
            <w:tcW w:w="934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5;</w:t>
            </w:r>
          </w:p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1" w:type="dxa"/>
          </w:tcPr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присваивается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случаях: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если на площадке, отводимой под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предполагаемое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функционирования приобретаемого объекта недвижимого имущества)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 имеются все виды инженерной и транспортной инфраструктуры в необходимых объемах;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если для предполагаемого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объекта капитального строительства </w:t>
            </w:r>
            <w:r w:rsidRPr="0022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(приобретаемого объекта недвижимого имущества)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силу его функционального назначения инженерная и транспортная инфраструктура не требуется (например, берегоукрепительные работы)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если объект недвижимого имущества обеспечен всеми видами инженерной и транспортной инфраструктуры в необходимых объемах.</w:t>
            </w:r>
          </w:p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равный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присваивается,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средневзвешенный уровень обеспеченности планируемого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(приобретаемого объекта недвижимого имущества)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</w:t>
            </w:r>
            <w:r>
              <w:t xml:space="preserve"> </w:t>
            </w: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(объекта недвижимого имущества)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инженерной и транспортной инфраструктурой в необходимых объемах.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равный</w:t>
            </w: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присваивается, </w:t>
            </w: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если средневзвешенный уровень обеспеченности объекта капитального строительства (объекта недвижимого имущества) инженерной и транспортной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(объекта недвижимого имущества) </w:t>
            </w:r>
          </w:p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инженерной и транспортной инфрас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труктурой в необходимых объемах</w:t>
            </w:r>
          </w:p>
        </w:tc>
        <w:tc>
          <w:tcPr>
            <w:tcW w:w="2347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Приводятся данные по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создаваемого (реконструи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руемого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приобретаемого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(объекта недвижимого имущества)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инженерной и транспортной инфраструктурой в объемах, достаточных для реализации инвестиционного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Средневзвешен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уровень обеспеченности инженерной и транспортной инфраструктурой рассчитывается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следующей формуле:</w:t>
            </w: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w:lastRenderedPageBreak/>
                  <m:t>И=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ui/n</m:t>
                    </m:r>
                  </m:e>
                </m:nary>
              </m:oMath>
            </m:oMathPara>
          </w:p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44" w:rsidRDefault="00215944" w:rsidP="0091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r>
              <w:t xml:space="preserve"> </w:t>
            </w:r>
            <w:r w:rsidRPr="007F60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7F60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i </w:t>
            </w:r>
            <w:r w:rsidRPr="00F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обеспеченности</w:t>
            </w:r>
          </w:p>
          <w:p w:rsidR="00215944" w:rsidRPr="00F8385E" w:rsidRDefault="00215944" w:rsidP="0091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60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F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-ым видом инженерной и транспортной инфраструктуры (энерго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снабжение; водоснабжение, теплоснабжение, телефонная связь, объекты транспортной инфрастру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ктуры)</w:t>
            </w:r>
            <w:r w:rsidRPr="00F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процентах;</w:t>
            </w:r>
          </w:p>
          <w:p w:rsidR="00215944" w:rsidRPr="00F86352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0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n </w:t>
            </w:r>
            <w:r w:rsidRPr="00F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видов необходимой инженерно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 транспортной инфраструктуры</w:t>
            </w:r>
          </w:p>
        </w:tc>
      </w:tr>
    </w:tbl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215944" w:rsidRPr="001C0C44" w:rsidSect="00915B92">
          <w:footerReference w:type="default" r:id="rId10"/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215944" w:rsidRPr="007C0AFC" w:rsidRDefault="00215944" w:rsidP="00215944">
      <w:pPr>
        <w:pStyle w:val="1"/>
        <w:ind w:left="4962"/>
        <w:jc w:val="both"/>
        <w:rPr>
          <w:rFonts w:eastAsia="Calibri"/>
          <w:sz w:val="28"/>
          <w:szCs w:val="28"/>
        </w:rPr>
      </w:pPr>
      <w:bookmarkStart w:id="19" w:name="Par582"/>
      <w:bookmarkEnd w:id="19"/>
      <w:r w:rsidRPr="007C0AFC">
        <w:rPr>
          <w:rFonts w:eastAsia="Calibri"/>
          <w:sz w:val="28"/>
          <w:szCs w:val="28"/>
        </w:rPr>
        <w:lastRenderedPageBreak/>
        <w:t>Приложение 3</w:t>
      </w:r>
    </w:p>
    <w:p w:rsidR="00215944" w:rsidRPr="001C0C44" w:rsidRDefault="00215944" w:rsidP="00215944">
      <w:pPr>
        <w:pStyle w:val="1"/>
        <w:ind w:left="4962"/>
        <w:jc w:val="both"/>
        <w:rPr>
          <w:rFonts w:eastAsia="Calibri"/>
          <w:sz w:val="28"/>
          <w:szCs w:val="28"/>
        </w:rPr>
      </w:pPr>
      <w:r w:rsidRPr="001C0C44">
        <w:rPr>
          <w:rFonts w:eastAsia="Calibri"/>
          <w:sz w:val="28"/>
          <w:szCs w:val="28"/>
        </w:rPr>
        <w:t xml:space="preserve">к Методике оценки эффективности использования средств </w:t>
      </w:r>
      <w:r w:rsidR="00F0352B">
        <w:rPr>
          <w:rFonts w:eastAsia="Calibri"/>
          <w:sz w:val="28"/>
          <w:szCs w:val="28"/>
        </w:rPr>
        <w:t>местного</w:t>
      </w:r>
      <w:r w:rsidRPr="001C0C44">
        <w:rPr>
          <w:rFonts w:eastAsia="Calibri"/>
          <w:sz w:val="28"/>
          <w:szCs w:val="28"/>
        </w:rPr>
        <w:t xml:space="preserve"> бюджета, направляемых на капитальные вложения</w:t>
      </w:r>
    </w:p>
    <w:p w:rsidR="00215944" w:rsidRPr="0015750D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0" w:name="Par614"/>
      <w:bookmarkEnd w:id="20"/>
      <w:r w:rsidRPr="001C0C44">
        <w:rPr>
          <w:rFonts w:ascii="Times New Roman" w:eastAsia="Calibri" w:hAnsi="Times New Roman" w:cs="Times New Roman"/>
          <w:sz w:val="28"/>
          <w:szCs w:val="28"/>
        </w:rPr>
        <w:t>Значения</w:t>
      </w:r>
    </w:p>
    <w:p w:rsidR="00215944" w:rsidRPr="0015750D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 xml:space="preserve">весовых коэффициентов количественных критериев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 xml:space="preserve">     в процентах</w:t>
      </w:r>
    </w:p>
    <w:tbl>
      <w:tblPr>
        <w:tblW w:w="5000" w:type="pct"/>
        <w:tblCellSpacing w:w="5" w:type="nil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8"/>
        <w:gridCol w:w="4577"/>
        <w:gridCol w:w="2290"/>
        <w:gridCol w:w="1888"/>
      </w:tblGrid>
      <w:tr w:rsidR="00215944" w:rsidRPr="001C0C44" w:rsidTr="00915B92">
        <w:trPr>
          <w:trHeight w:val="600"/>
          <w:tblCellSpacing w:w="5" w:type="nil"/>
        </w:trPr>
        <w:tc>
          <w:tcPr>
            <w:tcW w:w="706" w:type="dxa"/>
            <w:vMerge w:val="restart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  <w:vMerge w:val="restart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365" w:type="dxa"/>
            <w:gridSpan w:val="2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(реконструкция) объектов капитального строительства</w:t>
            </w:r>
          </w:p>
        </w:tc>
      </w:tr>
      <w:tr w:rsidR="00215944" w:rsidRPr="001C0C44" w:rsidTr="00915B92">
        <w:trPr>
          <w:trHeight w:val="1600"/>
          <w:tblCellSpacing w:w="5" w:type="nil"/>
        </w:trPr>
        <w:tc>
          <w:tcPr>
            <w:tcW w:w="706" w:type="dxa"/>
            <w:vMerge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образования, культуры и спорта, молодежной политики; коммунальной инфраструктуры, административ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ных и иных зданий, охраны окружающей среды</w:t>
            </w:r>
          </w:p>
        </w:tc>
        <w:tc>
          <w:tcPr>
            <w:tcW w:w="1972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производ-ственного назначения, транспортной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и инженерной инфраструк-туры и другие</w:t>
            </w:r>
          </w:p>
        </w:tc>
      </w:tr>
      <w:tr w:rsidR="00215944" w:rsidRPr="001C0C44" w:rsidTr="00915B92">
        <w:trPr>
          <w:trHeight w:val="303"/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15944" w:rsidRPr="001C0C44" w:rsidTr="00915B92">
        <w:trPr>
          <w:trHeight w:val="800"/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количественных показателей (показателя) результатов 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инвестиционного проекта</w:t>
            </w:r>
          </w:p>
        </w:tc>
        <w:tc>
          <w:tcPr>
            <w:tcW w:w="2393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15944" w:rsidRPr="001C0C44" w:rsidTr="00915B92">
        <w:trPr>
          <w:trHeight w:val="350"/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  <w:r w:rsidR="00F03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12D6" w:rsidRPr="001C0C44" w:rsidRDefault="00AA12D6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0A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2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0A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15944" w:rsidRPr="001C0C44" w:rsidTr="00915B92">
        <w:trPr>
          <w:trHeight w:val="493"/>
          <w:tblCellSpacing w:w="5" w:type="nil"/>
        </w:trPr>
        <w:tc>
          <w:tcPr>
            <w:tcW w:w="706" w:type="dxa"/>
            <w:vAlign w:val="center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88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15944" w:rsidRPr="001C0C44" w:rsidTr="00915B92">
        <w:trPr>
          <w:trHeight w:val="493"/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потребителей продукции (услуг), создаваемой (оказываемых)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2393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2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A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15944" w:rsidRPr="001C0C44" w:rsidTr="00915B92">
        <w:trPr>
          <w:trHeight w:val="2000"/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215944" w:rsidRPr="001C0C44" w:rsidRDefault="00215944" w:rsidP="00F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(оказания) продукции (услуг) в объеме, предусмотренном для обеспечения </w:t>
            </w:r>
            <w:r w:rsidR="00F0352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нужд.</w:t>
            </w:r>
          </w:p>
        </w:tc>
        <w:tc>
          <w:tcPr>
            <w:tcW w:w="2393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A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A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15944" w:rsidRPr="001C0C44" w:rsidTr="00915B92">
        <w:trPr>
          <w:trHeight w:val="1400"/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планируемого объема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393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2" w:type="dxa"/>
            <w:vAlign w:val="center"/>
          </w:tcPr>
          <w:p w:rsidR="00215944" w:rsidRPr="007C0AF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A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15944" w:rsidRPr="001C0C44" w:rsidTr="00915B92">
        <w:trPr>
          <w:tblCellSpacing w:w="5" w:type="nil"/>
        </w:trPr>
        <w:tc>
          <w:tcPr>
            <w:tcW w:w="706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72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bookmarkStart w:id="21" w:name="Par680"/>
      <w:bookmarkEnd w:id="21"/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F0352B" w:rsidRDefault="00F0352B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F0352B" w:rsidRDefault="00F0352B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F0352B" w:rsidRDefault="00F0352B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5944" w:rsidRPr="007C0AFC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C0AFC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 xml:space="preserve">к Методике оценки эффективности использования средств </w:t>
      </w:r>
      <w:r w:rsidR="00F0352B"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  <w:r w:rsidRPr="001C0C44">
        <w:rPr>
          <w:rFonts w:ascii="Times New Roman" w:eastAsia="Calibri" w:hAnsi="Times New Roman" w:cs="Times New Roman"/>
          <w:sz w:val="28"/>
          <w:szCs w:val="28"/>
        </w:rPr>
        <w:t>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Par683"/>
      <w:bookmarkEnd w:id="22"/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 xml:space="preserve">Рекомендуемые количественные показатели,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 xml:space="preserve">характеризующие результаты реализации инвестиционного проекта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9"/>
        <w:gridCol w:w="2188"/>
        <w:gridCol w:w="274"/>
        <w:gridCol w:w="3143"/>
        <w:gridCol w:w="3279"/>
      </w:tblGrid>
      <w:tr w:rsidR="00215944" w:rsidRPr="00F449B4" w:rsidTr="00915B92">
        <w:trPr>
          <w:trHeight w:val="320"/>
          <w:tblCellSpacing w:w="5" w:type="nil"/>
        </w:trPr>
        <w:tc>
          <w:tcPr>
            <w:tcW w:w="549" w:type="dxa"/>
            <w:vMerge w:val="restart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88" w:type="dxa"/>
            <w:vMerge w:val="restart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6696" w:type="dxa"/>
            <w:gridSpan w:val="3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Количественные показатели:</w:t>
            </w:r>
          </w:p>
        </w:tc>
      </w:tr>
      <w:tr w:rsidR="00215944" w:rsidRPr="00F449B4" w:rsidTr="00915B92">
        <w:trPr>
          <w:trHeight w:val="480"/>
          <w:tblCellSpacing w:w="5" w:type="nil"/>
        </w:trPr>
        <w:tc>
          <w:tcPr>
            <w:tcW w:w="549" w:type="dxa"/>
            <w:vMerge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характеризующие прямые (непосредственные) результаты инвестиционного проекта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характеризующие конечные результаты  инвестиционного проекта</w:t>
            </w:r>
          </w:p>
        </w:tc>
      </w:tr>
      <w:tr w:rsidR="00215944" w:rsidRPr="00F449B4" w:rsidTr="00915B92">
        <w:trPr>
          <w:tblCellSpacing w:w="5" w:type="nil"/>
        </w:trPr>
        <w:tc>
          <w:tcPr>
            <w:tcW w:w="9433" w:type="dxa"/>
            <w:gridSpan w:val="5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укция) объектов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образования, культуры, спорта, молодежной политики</w:t>
            </w:r>
          </w:p>
        </w:tc>
      </w:tr>
      <w:tr w:rsidR="00215944" w:rsidRPr="00F449B4" w:rsidTr="00915B92">
        <w:trPr>
          <w:trHeight w:val="493"/>
          <w:tblCellSpacing w:w="5" w:type="nil"/>
        </w:trPr>
        <w:tc>
          <w:tcPr>
            <w:tcW w:w="549" w:type="dxa"/>
          </w:tcPr>
          <w:p w:rsidR="00215944" w:rsidRPr="00F449B4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  <w:r w:rsidRPr="00F449B4">
              <w:t xml:space="preserve"> </w:t>
            </w:r>
            <w:r w:rsidRPr="00F449B4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ошкольные и общеобразова-тельные учреждения, центры детского творчества)</w:t>
            </w:r>
          </w:p>
        </w:tc>
        <w:tc>
          <w:tcPr>
            <w:tcW w:w="3417" w:type="dxa"/>
            <w:gridSpan w:val="2"/>
          </w:tcPr>
          <w:p w:rsidR="00215944" w:rsidRPr="007A385C" w:rsidRDefault="00215944" w:rsidP="00915B92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85C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объекта –  количество мест.</w:t>
            </w:r>
          </w:p>
          <w:p w:rsidR="00215944" w:rsidRPr="007A385C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Общая площадь здания, кв. м. 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Строительный объем,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Рост обеспеченности населения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расчете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на 100 детей) местами в дошкольных образовательных, общеобразовательных, организациях, центрах детского творчества в процентах к уровню обеспеченности до реализации инвестиционного проекта</w:t>
            </w:r>
          </w:p>
        </w:tc>
      </w:tr>
      <w:tr w:rsidR="00215944" w:rsidRPr="00F449B4" w:rsidTr="00915B92">
        <w:trPr>
          <w:trHeight w:val="1440"/>
          <w:tblCellSpacing w:w="5" w:type="nil"/>
        </w:trPr>
        <w:tc>
          <w:tcPr>
            <w:tcW w:w="549" w:type="dxa"/>
          </w:tcPr>
          <w:p w:rsidR="00215944" w:rsidRPr="00F449B4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культуры (театры, музеи, библиотеки и т.п.) 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Мощность объекта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мест; количество посетителей в день.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Для библиотек – число единиц библиотечного фонда.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Для музеев – число предметов  музейного фонда, ед.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Общая площадь здания, 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Строительный объем,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Рост об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еспеченности населения  </w:t>
            </w:r>
            <w:r w:rsidR="0091723B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расчете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1 000 жителей) местами в организациях культуры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в процентах к уровню обеспеченности до реализации инвестиционного проекта</w:t>
            </w:r>
          </w:p>
        </w:tc>
      </w:tr>
      <w:tr w:rsidR="00215944" w:rsidRPr="00F449B4" w:rsidTr="00915B92">
        <w:trPr>
          <w:trHeight w:val="1280"/>
          <w:tblCellSpacing w:w="5" w:type="nil"/>
        </w:trPr>
        <w:tc>
          <w:tcPr>
            <w:tcW w:w="549" w:type="dxa"/>
          </w:tcPr>
          <w:p w:rsidR="00215944" w:rsidRPr="00F449B4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Объекты физической     </w:t>
            </w:r>
          </w:p>
          <w:p w:rsidR="00215944" w:rsidRPr="00F449B4" w:rsidRDefault="00215944" w:rsidP="0091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и спорта, молодежной политики (стадионы, спортивные и молодежные центры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другие спортивные сооружения)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Мощность объекта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пропускная способность спортивных сооружений; количество мест,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человек.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Общая площадь здания, 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3.Строительный объем,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Рост обеспечен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ности населения </w:t>
            </w:r>
            <w:r w:rsidR="0091723B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объектами физической культуры и спорта, рост количества мест в процентах к уровню обеспеченности до реализации  инвестиционного проекта</w:t>
            </w:r>
          </w:p>
        </w:tc>
      </w:tr>
      <w:tr w:rsidR="00215944" w:rsidRPr="00F449B4" w:rsidTr="00915B92">
        <w:trPr>
          <w:tblCellSpacing w:w="5" w:type="nil"/>
        </w:trPr>
        <w:tc>
          <w:tcPr>
            <w:tcW w:w="9433" w:type="dxa"/>
            <w:gridSpan w:val="5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Раздел I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(реконструкция) общественных зданий и жилых помещений</w:t>
            </w:r>
          </w:p>
        </w:tc>
      </w:tr>
      <w:tr w:rsidR="00215944" w:rsidRPr="00F449B4" w:rsidTr="00915B92">
        <w:trPr>
          <w:trHeight w:val="351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Жилые дома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Общая площадь объекта, кв. м.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Полезная жилая площадь объекта, 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3. Количество квартир, шт.</w:t>
            </w:r>
          </w:p>
        </w:tc>
        <w:tc>
          <w:tcPr>
            <w:tcW w:w="3279" w:type="dxa"/>
          </w:tcPr>
          <w:p w:rsidR="00215944" w:rsidRPr="00F449B4" w:rsidRDefault="00215944" w:rsidP="0077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количества очередников на улучшение жил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ищных условий в </w:t>
            </w:r>
            <w:r w:rsidR="0077163C">
              <w:rPr>
                <w:rFonts w:ascii="Times New Roman" w:eastAsia="Calibri" w:hAnsi="Times New Roman" w:cs="Times New Roman"/>
                <w:sz w:val="28"/>
                <w:szCs w:val="28"/>
              </w:rPr>
              <w:t>сельском поселении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процентах к количеству очередников до реализации инвестиционного проекта</w:t>
            </w:r>
          </w:p>
        </w:tc>
      </w:tr>
      <w:tr w:rsidR="00215944" w:rsidRPr="00F449B4" w:rsidTr="00915B92">
        <w:trPr>
          <w:trHeight w:val="640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Административ-ные здания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Общая площадь объекта, кв. м.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Полезная и служебная площадь объекта, 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Строительный объем,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куб. м 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комфортных условий труда работников, кв. м общей (полезной, служебной) площади здания на одного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</w:tr>
      <w:tr w:rsidR="00215944" w:rsidRPr="00F449B4" w:rsidTr="00915B92">
        <w:trPr>
          <w:trHeight w:val="351"/>
          <w:tblCellSpacing w:w="5" w:type="nil"/>
        </w:trPr>
        <w:tc>
          <w:tcPr>
            <w:tcW w:w="549" w:type="dxa"/>
          </w:tcPr>
          <w:p w:rsidR="00215944" w:rsidRPr="00244C02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Здания образовательных организаций,</w:t>
            </w:r>
            <w:r w:rsidRPr="00F449B4">
              <w:t xml:space="preserve">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осуществляющих образовательную деятельность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учебных мест, ед.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Общая и полезная площадь  объекта,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Строительный объем,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Обеспечение комфортных условий  труда работников и обучения учащихся,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кв. м общей (полезной) площади зданий на одного учащегося</w:t>
            </w:r>
          </w:p>
        </w:tc>
      </w:tr>
      <w:tr w:rsidR="00215944" w:rsidRPr="00F449B4" w:rsidTr="00915B92">
        <w:trPr>
          <w:tblCellSpacing w:w="5" w:type="nil"/>
        </w:trPr>
        <w:tc>
          <w:tcPr>
            <w:tcW w:w="9433" w:type="dxa"/>
            <w:gridSpan w:val="5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Раздел I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215944" w:rsidRPr="00F449B4" w:rsidTr="00915B92">
        <w:trPr>
          <w:trHeight w:val="1058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Очистные сооружения   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(для защиты водных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ресурсов и воздушного  бассейна от бытовых и  техногенных загрязнений)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Мощность объекта  – объем переработки очищаемого ресурса, куб. м (тонн) в сутки (год) 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Сокращение концентрации вредных веществ в сбросах (выбросах) в процентах к их концентрации до реализации инвестиционного проекта.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Соответствие концентрации вредных веществ предельно допустимой концентрации </w:t>
            </w:r>
          </w:p>
        </w:tc>
      </w:tr>
      <w:tr w:rsidR="00215944" w:rsidRPr="00F449B4" w:rsidTr="00915B92">
        <w:trPr>
          <w:trHeight w:val="634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Береговые сооружения для защиты от наводнений, противоопол-зневые сооружения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Общая площадь (объем) объекта, кв. м (куб. м).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Общая площадь защищаемой от наводнения (оползня) береговой зоны,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тыс. 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Предотвращенный экономический ущерб (по данным экономического ущерба от последнего наводнения, оползня),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215944" w:rsidRPr="00F449B4" w:rsidTr="00915B92">
        <w:trPr>
          <w:trHeight w:val="365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объекта – объем переработки очищаемого ресурса, куб. м (тонн) в сутки (год)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Срок безопасного хранения захороненных ТПО, лет</w:t>
            </w:r>
          </w:p>
        </w:tc>
      </w:tr>
      <w:tr w:rsidR="00215944" w:rsidRPr="00F449B4" w:rsidTr="00915B92">
        <w:trPr>
          <w:trHeight w:val="1600"/>
          <w:tblCellSpacing w:w="5" w:type="nil"/>
        </w:trPr>
        <w:tc>
          <w:tcPr>
            <w:tcW w:w="549" w:type="dxa"/>
          </w:tcPr>
          <w:p w:rsidR="00215944" w:rsidRPr="00244C02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Объекты коммунальной инфраструктуры (объекты водоснабжения, водоотведения, тепло-,газо- и электроснаб-жения)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Мощность объекта в соответствующих натуральных единицах измерения.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Размерные и иные характеристики объекта (газопровода – отвода – км, давление; электрических сетей – км, напряжение и т.п.)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Увеличение количества населенных пунктов, имеющих водопровод и канализацию, единицы.</w:t>
            </w:r>
          </w:p>
          <w:p w:rsidR="00215944" w:rsidRPr="00F449B4" w:rsidRDefault="00215944" w:rsidP="0077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Увеличение уровня газификации </w:t>
            </w:r>
            <w:r w:rsidR="0077163C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процентах к уровню газификации до начала реализации инвестиционного проекта</w:t>
            </w:r>
          </w:p>
        </w:tc>
      </w:tr>
      <w:tr w:rsidR="00215944" w:rsidRPr="00F449B4" w:rsidTr="00915B92">
        <w:trPr>
          <w:trHeight w:val="209"/>
          <w:tblCellSpacing w:w="5" w:type="nil"/>
        </w:trPr>
        <w:tc>
          <w:tcPr>
            <w:tcW w:w="549" w:type="dxa"/>
          </w:tcPr>
          <w:p w:rsidR="00215944" w:rsidRPr="00244C02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Сортировка, переработка и утилизация твердых  бытовых отходов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объекта – объем переработки твердых бытовых отходов, тонн в сутки (год)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Закрытие существующих свалок твердых бытовых отходов, общая площадь рекультивированных земель, гектары</w:t>
            </w:r>
          </w:p>
        </w:tc>
      </w:tr>
      <w:tr w:rsidR="00215944" w:rsidRPr="00F449B4" w:rsidTr="00915B92">
        <w:trPr>
          <w:tblCellSpacing w:w="5" w:type="nil"/>
        </w:trPr>
        <w:tc>
          <w:tcPr>
            <w:tcW w:w="9433" w:type="dxa"/>
            <w:gridSpan w:val="5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Раздел I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(реконструкция) производственных объектов</w:t>
            </w:r>
          </w:p>
        </w:tc>
      </w:tr>
      <w:tr w:rsidR="00215944" w:rsidRPr="00F449B4" w:rsidTr="00915B92">
        <w:trPr>
          <w:trHeight w:val="1120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Производствен-ные объекты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объекта в соответствующих натуральных единицах измерения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Конечные результаты с учетом типа инвестиционного проекта (например, повышение доли 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конкурентоспособной продукции (услуг) в общем объеме производства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в процентах)</w:t>
            </w:r>
          </w:p>
        </w:tc>
      </w:tr>
      <w:tr w:rsidR="00215944" w:rsidRPr="00F449B4" w:rsidTr="00915B92">
        <w:trPr>
          <w:trHeight w:val="397"/>
          <w:tblCellSpacing w:w="5" w:type="nil"/>
        </w:trPr>
        <w:tc>
          <w:tcPr>
            <w:tcW w:w="9433" w:type="dxa"/>
            <w:gridSpan w:val="5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(реконструкция) инфраструктуры инновационной системы</w:t>
            </w:r>
          </w:p>
        </w:tc>
      </w:tr>
      <w:tr w:rsidR="00215944" w:rsidRPr="00F449B4" w:rsidTr="00915B92">
        <w:trPr>
          <w:trHeight w:val="397"/>
          <w:tblCellSpacing w:w="5" w:type="nil"/>
        </w:trPr>
        <w:tc>
          <w:tcPr>
            <w:tcW w:w="549" w:type="dxa"/>
          </w:tcPr>
          <w:p w:rsidR="00215944" w:rsidRPr="00244C02" w:rsidRDefault="00244C02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2" w:type="dxa"/>
            <w:gridSpan w:val="2"/>
          </w:tcPr>
          <w:p w:rsidR="00215944" w:rsidRPr="00F449B4" w:rsidRDefault="00215944" w:rsidP="0024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Инфраструктура коммерциализации инноваций (особые экономические зоны, технопарки, инновацио</w:t>
            </w:r>
            <w:r w:rsidR="00244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нно-технологические центры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и т.п.)</w:t>
            </w:r>
          </w:p>
        </w:tc>
        <w:tc>
          <w:tcPr>
            <w:tcW w:w="3143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Общая площадь объекта, кв. 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процентов.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Повышение доли инновационной продукции в общем объеме выпускаемой продукции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215944" w:rsidRPr="00F449B4" w:rsidTr="00915B92">
        <w:trPr>
          <w:tblCellSpacing w:w="5" w:type="nil"/>
        </w:trPr>
        <w:tc>
          <w:tcPr>
            <w:tcW w:w="9433" w:type="dxa"/>
            <w:gridSpan w:val="5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(реконструкция) объектов транспортной инфраструктуры</w:t>
            </w:r>
          </w:p>
        </w:tc>
      </w:tr>
      <w:tr w:rsidR="00215944" w:rsidRPr="00F449B4" w:rsidTr="00915B92">
        <w:trPr>
          <w:trHeight w:val="209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Автомобильные дороги общего пользования местного значения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Эксплуатационная длина путей сообщения общего пользования, км.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создаваемых (сохраняемых) рабочих мест, единицы.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Объем (увеличение объема) грузооборота транспорта общего пользования, тонно – км в год; пассажирооборота автобусного и другого транспорта, пассажиро – км в год.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3. Сокращение времени пребывания грузов, пассажиров в пути, процентов.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215944" w:rsidRPr="00F449B4" w:rsidTr="00915B92">
        <w:trPr>
          <w:trHeight w:val="209"/>
          <w:tblCellSpacing w:w="5" w:type="nil"/>
        </w:trPr>
        <w:tc>
          <w:tcPr>
            <w:tcW w:w="54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188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Мосты, тоннели</w:t>
            </w:r>
          </w:p>
        </w:tc>
        <w:tc>
          <w:tcPr>
            <w:tcW w:w="3417" w:type="dxa"/>
            <w:gridSpan w:val="2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Общая площадь объекта, кв. м. 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Эксплуатационная длина объекта, км.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3. Иные размерные характеристики  объекта в соответствующих единицах измерения</w:t>
            </w:r>
          </w:p>
        </w:tc>
        <w:tc>
          <w:tcPr>
            <w:tcW w:w="3279" w:type="dxa"/>
          </w:tcPr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1. Объем (увеличение объема) грузооборота транспорта общего пользования, тонно – км в год.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2. Объем (увеличение объема) пассажирооборота автобусного и другого транспорта, пассажиро – км в год.</w:t>
            </w:r>
          </w:p>
          <w:p w:rsidR="00215944" w:rsidRPr="00F449B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9B4">
              <w:rPr>
                <w:rFonts w:ascii="Times New Roman" w:eastAsia="Calibri" w:hAnsi="Times New Roman" w:cs="Times New Roman"/>
                <w:sz w:val="28"/>
                <w:szCs w:val="28"/>
              </w:rPr>
              <w:t>3. Сокращение времени пребывания грузов, пассажиров в пути, процентов</w:t>
            </w:r>
          </w:p>
        </w:tc>
      </w:tr>
    </w:tbl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02" w:rsidRDefault="00244C02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139" w:rsidRDefault="00843139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139" w:rsidRDefault="00843139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139" w:rsidRDefault="00843139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Pr="007C0AFC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AF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 xml:space="preserve">к Методике оценки эффективности </w:t>
      </w:r>
      <w:r w:rsidR="00A67DF7">
        <w:rPr>
          <w:rFonts w:ascii="Times New Roman" w:eastAsia="Calibri" w:hAnsi="Times New Roman" w:cs="Times New Roman"/>
          <w:sz w:val="28"/>
          <w:szCs w:val="28"/>
        </w:rPr>
        <w:t>использования средств местного  бюджета</w:t>
      </w:r>
      <w:r w:rsidRPr="001C0C44">
        <w:rPr>
          <w:rFonts w:ascii="Times New Roman" w:eastAsia="Calibri" w:hAnsi="Times New Roman" w:cs="Times New Roman"/>
          <w:sz w:val="28"/>
          <w:szCs w:val="28"/>
        </w:rPr>
        <w:t>,</w:t>
      </w:r>
      <w:r w:rsidRPr="001C0C44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eastAsia="Calibri" w:hAnsi="Times New Roman" w:cs="Times New Roman"/>
          <w:sz w:val="28"/>
          <w:szCs w:val="28"/>
        </w:rPr>
        <w:t>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3" w:name="Par584"/>
      <w:bookmarkEnd w:id="23"/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>Расчет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C44">
        <w:rPr>
          <w:rFonts w:ascii="Times New Roman" w:eastAsia="Calibri" w:hAnsi="Times New Roman" w:cs="Times New Roman"/>
          <w:sz w:val="28"/>
          <w:szCs w:val="28"/>
        </w:rPr>
        <w:t>интегральной оценки эффективности инвестиционного проекта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3171"/>
        <w:gridCol w:w="1939"/>
      </w:tblGrid>
      <w:tr w:rsidR="00215944" w:rsidRPr="001C0C44" w:rsidTr="00915B92">
        <w:trPr>
          <w:trHeight w:val="292"/>
        </w:trPr>
        <w:tc>
          <w:tcPr>
            <w:tcW w:w="4605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239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</w:t>
            </w:r>
          </w:p>
        </w:tc>
        <w:tc>
          <w:tcPr>
            <w:tcW w:w="1946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Весовой коэффициент</w:t>
            </w:r>
          </w:p>
        </w:tc>
      </w:tr>
      <w:tr w:rsidR="00215944" w:rsidRPr="001C0C44" w:rsidTr="00915B92">
        <w:trPr>
          <w:trHeight w:val="602"/>
        </w:trPr>
        <w:tc>
          <w:tcPr>
            <w:tcW w:w="4605" w:type="dxa"/>
          </w:tcPr>
          <w:p w:rsidR="00215944" w:rsidRPr="001C0C44" w:rsidRDefault="00215944" w:rsidP="00915B92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 на основе качественных критериев, Ч</w:t>
            </w:r>
            <w:r w:rsidRPr="001C0C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239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215944" w:rsidRPr="001C0C44" w:rsidTr="00915B92">
        <w:trPr>
          <w:trHeight w:val="602"/>
        </w:trPr>
        <w:tc>
          <w:tcPr>
            <w:tcW w:w="4605" w:type="dxa"/>
          </w:tcPr>
          <w:p w:rsidR="00215944" w:rsidRPr="001C0C44" w:rsidRDefault="00215944" w:rsidP="00915B92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на основе количественных критериев, Ч</w:t>
            </w:r>
            <w:r w:rsidRPr="001C0C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39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215944" w:rsidRPr="001C0C44" w:rsidTr="00915B92">
        <w:trPr>
          <w:trHeight w:val="1239"/>
        </w:trPr>
        <w:tc>
          <w:tcPr>
            <w:tcW w:w="4605" w:type="dxa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Интегральная оценка эффективности испол</w:t>
            </w:r>
            <w:r w:rsidR="000A0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ьзования средств местного бюджета </w:t>
            </w: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C0C44">
              <w:rPr>
                <w:rFonts w:ascii="Times New Roman" w:hAnsi="Times New Roman" w:cs="Times New Roman"/>
              </w:rPr>
              <w:t xml:space="preserve"> </w:t>
            </w: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направляемых на капитальные вложения , Э</w:t>
            </w:r>
            <w:r w:rsidRPr="001C0C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инт</w:t>
            </w:r>
          </w:p>
        </w:tc>
        <w:tc>
          <w:tcPr>
            <w:tcW w:w="3239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инт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Ч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0,2 + Ч</w:t>
            </w: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0,8 </w:t>
            </w:r>
          </w:p>
        </w:tc>
        <w:tc>
          <w:tcPr>
            <w:tcW w:w="1946" w:type="dxa"/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</w:tbl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5944" w:rsidRPr="00F449B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инициатора </w:t>
      </w: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_________________/________/________/</w:t>
      </w:r>
    </w:p>
    <w:p w:rsidR="00215944" w:rsidRPr="00EA7DF1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24" w:name="_GoBack"/>
      <w:bookmarkEnd w:id="24"/>
      <w:r w:rsidRPr="00D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(подпись)    (Ф.И.О.)</w:t>
      </w:r>
      <w:r w:rsidRPr="00EA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215944" w:rsidRPr="00EA7DF1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 20__ г.</w:t>
      </w: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pStyle w:val="1"/>
        <w:ind w:left="4820"/>
        <w:jc w:val="both"/>
        <w:rPr>
          <w:sz w:val="28"/>
          <w:szCs w:val="28"/>
        </w:rPr>
      </w:pPr>
    </w:p>
    <w:p w:rsidR="000A0120" w:rsidRDefault="000A0120" w:rsidP="000A0120">
      <w:pPr>
        <w:rPr>
          <w:lang w:eastAsia="ru-RU"/>
        </w:rPr>
      </w:pPr>
    </w:p>
    <w:p w:rsidR="000A0120" w:rsidRPr="000A0120" w:rsidRDefault="000A0120" w:rsidP="000A0120">
      <w:pPr>
        <w:rPr>
          <w:lang w:eastAsia="ru-RU"/>
        </w:rPr>
      </w:pPr>
    </w:p>
    <w:p w:rsidR="00A44EA1" w:rsidRDefault="00A44EA1" w:rsidP="00A44EA1">
      <w:pPr>
        <w:pStyle w:val="1"/>
        <w:ind w:left="4820"/>
        <w:jc w:val="both"/>
        <w:rPr>
          <w:sz w:val="28"/>
          <w:szCs w:val="28"/>
        </w:rPr>
      </w:pPr>
    </w:p>
    <w:p w:rsidR="00A44EA1" w:rsidRPr="001C0C44" w:rsidRDefault="00215944" w:rsidP="00AA12D6">
      <w:pPr>
        <w:pStyle w:val="1"/>
        <w:ind w:left="4820"/>
        <w:rPr>
          <w:sz w:val="28"/>
          <w:szCs w:val="28"/>
        </w:rPr>
      </w:pPr>
      <w:r w:rsidRPr="001C0C44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</w:p>
    <w:p w:rsidR="00A44EA1" w:rsidRPr="00F62806" w:rsidRDefault="00A44EA1" w:rsidP="00AA12D6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инвестиционных проектов, финансирование которых планируется осуществлять полностью или частично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 бюджета муниципального образования </w:t>
      </w:r>
      <w:r w:rsid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Бенецкое </w:t>
      </w:r>
      <w:r w:rsidR="00843139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</w:t>
      </w:r>
      <w:r w:rsidR="00843139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43139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 на предмет эффективности использования средств бюджета муниципального образования </w:t>
      </w:r>
      <w:r w:rsidR="00F6280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Бенецкое </w:t>
      </w:r>
      <w:r w:rsidR="00843139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</w:t>
      </w:r>
      <w:r w:rsidR="00843139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43139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 направляемых на капитальные вложения</w:t>
      </w:r>
    </w:p>
    <w:p w:rsidR="000A0120" w:rsidRPr="00F62806" w:rsidRDefault="000A0120" w:rsidP="0021594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A1" w:rsidRPr="00F62806" w:rsidRDefault="00A44EA1" w:rsidP="0021594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0A012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6FAB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F6280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Бенецкого </w:t>
      </w:r>
      <w:r w:rsidR="00656FAB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Западнодвинского района тверской области</w:t>
      </w:r>
    </w:p>
    <w:p w:rsidR="00215944" w:rsidRDefault="00215944" w:rsidP="002159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20" w:rsidRPr="001C0C44" w:rsidRDefault="000A0120" w:rsidP="002159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15944" w:rsidRDefault="00215944" w:rsidP="002159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инвестиционного проекта на предмет эффективности </w:t>
      </w:r>
      <w:r w:rsidR="000A01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15944" w:rsidRPr="001C0C44" w:rsidRDefault="00215944" w:rsidP="002159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 на капитальные вложения</w:t>
      </w:r>
    </w:p>
    <w:p w:rsidR="000A0120" w:rsidRPr="001C0C44" w:rsidRDefault="000A0120" w:rsidP="0021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проверки: __________________________________________________________________</w:t>
      </w:r>
    </w:p>
    <w:p w:rsidR="00215944" w:rsidRDefault="002D58F8" w:rsidP="002D58F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 </w:t>
      </w:r>
      <w:r w:rsidR="00BA01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 </w:t>
      </w:r>
      <w:r w:rsidR="00BA011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осуществляющего</w:t>
      </w:r>
      <w:r w:rsidRPr="001C0C44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исполнительно-распорядительную деятельность в соответствующих сферах деятельности (для объектов, не предполагаем</w:t>
      </w:r>
      <w:r>
        <w:rPr>
          <w:rFonts w:ascii="Times New Roman" w:hAnsi="Times New Roman" w:cs="Times New Roman"/>
          <w:sz w:val="28"/>
          <w:szCs w:val="28"/>
        </w:rPr>
        <w:t>ых к включению в муниципальные</w:t>
      </w:r>
      <w:r w:rsidRPr="001C0C4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11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120" w:rsidRPr="001C0C44" w:rsidRDefault="000A0120" w:rsidP="0021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провести проверку инвестиционного проекта: __________________________________________________________________</w:t>
      </w:r>
    </w:p>
    <w:p w:rsidR="00215944" w:rsidRPr="001C0C44" w:rsidRDefault="00215944" w:rsidP="0021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(наименование)</w:t>
      </w:r>
    </w:p>
    <w:p w:rsidR="00215944" w:rsidRPr="001C0C44" w:rsidRDefault="00215944" w:rsidP="0021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962"/>
        <w:gridCol w:w="5111"/>
      </w:tblGrid>
      <w:tr w:rsidR="00215944" w:rsidRPr="00A77B50" w:rsidTr="00915B92">
        <w:tc>
          <w:tcPr>
            <w:tcW w:w="496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3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инициаторе проверки (наименование, юридический и почтовый адрес, адрес электронной почты, телефон и факс, </w:t>
            </w: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фамилия, имя, отчество и телефон руководителя)</w:t>
            </w:r>
          </w:p>
        </w:tc>
        <w:tc>
          <w:tcPr>
            <w:tcW w:w="5112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A77B50" w:rsidTr="00915B92">
        <w:trPr>
          <w:trHeight w:val="2466"/>
        </w:trPr>
        <w:tc>
          <w:tcPr>
            <w:tcW w:w="496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3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объекте капитального строительства (наименование объекта, строительный (почтовый)  адрес, основные технико-экономические показатели (площадь (для жилья – общая площадь квартир), объем, протяженность, количество этажей, мощность и др.)</w:t>
            </w:r>
          </w:p>
        </w:tc>
        <w:tc>
          <w:tcPr>
            <w:tcW w:w="5112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A77B50" w:rsidTr="00915B92">
        <w:tc>
          <w:tcPr>
            <w:tcW w:w="496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3" w:type="dxa"/>
          </w:tcPr>
          <w:p w:rsidR="00215944" w:rsidRPr="00A77B50" w:rsidRDefault="00215944" w:rsidP="00BA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администратор</w:t>
            </w:r>
            <w:r w:rsidR="000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(администратор) муниципальной </w:t>
            </w: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r w:rsidR="00FD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наименов</w:t>
            </w:r>
            <w:r w:rsidR="000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и реквизиты муниципальной программы </w:t>
            </w:r>
            <w:r w:rsidR="00BA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</w:t>
            </w:r>
            <w:r w:rsidR="000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ичии) и</w:t>
            </w:r>
            <w:r w:rsidR="0065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средств местного бюджета</w:t>
            </w: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предполагается направить на капитальные вложения </w:t>
            </w:r>
          </w:p>
        </w:tc>
        <w:tc>
          <w:tcPr>
            <w:tcW w:w="5112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A77B50" w:rsidTr="00915B92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120" w:rsidRPr="00A77B50" w:rsidRDefault="000A0120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A77B50" w:rsidTr="00915B92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документов, прилагаемых к заявлению</w:t>
            </w:r>
          </w:p>
        </w:tc>
      </w:tr>
      <w:tr w:rsidR="00215944" w:rsidRPr="00A77B50" w:rsidTr="00915B92">
        <w:tc>
          <w:tcPr>
            <w:tcW w:w="496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5" w:type="dxa"/>
            <w:gridSpan w:val="2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A77B50" w:rsidTr="00915B92">
        <w:tc>
          <w:tcPr>
            <w:tcW w:w="496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5" w:type="dxa"/>
            <w:gridSpan w:val="2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44" w:rsidRPr="00A77B50" w:rsidTr="00915B92">
        <w:tc>
          <w:tcPr>
            <w:tcW w:w="496" w:type="dxa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075" w:type="dxa"/>
            <w:gridSpan w:val="2"/>
          </w:tcPr>
          <w:p w:rsidR="00215944" w:rsidRPr="00A77B50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944" w:rsidRPr="001C0C4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420927059"/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инициатора </w:t>
      </w: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_________________/________/________/</w:t>
      </w:r>
    </w:p>
    <w:p w:rsidR="00215944" w:rsidRPr="00EA7DF1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(должность)        (подпись)    (Ф.И.О.)</w:t>
      </w:r>
      <w:r w:rsidRPr="00EA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 20__ г.</w:t>
      </w: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215944" w:rsidRPr="00F449B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F449B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            _________________/________/________/</w:t>
      </w:r>
    </w:p>
    <w:p w:rsidR="00215944" w:rsidRPr="00F449B4" w:rsidRDefault="00215944" w:rsidP="00F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(должность)          (подпись)    (Ф.И.О.)                                     </w:t>
      </w:r>
    </w:p>
    <w:p w:rsidR="00215944" w:rsidRPr="00F449B4" w:rsidRDefault="00FD2E75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15944"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15944" w:rsidRPr="00F449B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(телефон)           </w:t>
      </w:r>
    </w:p>
    <w:p w:rsidR="00215944" w:rsidRPr="00F449B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2D58F8" w:rsidRPr="00FD2E75" w:rsidRDefault="00215944" w:rsidP="00FD2E75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F449B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</w:p>
    <w:p w:rsidR="00BA0112" w:rsidRDefault="00BA0112" w:rsidP="00832838">
      <w:pPr>
        <w:pStyle w:val="1"/>
        <w:ind w:left="4820"/>
        <w:rPr>
          <w:sz w:val="28"/>
          <w:szCs w:val="28"/>
        </w:rPr>
      </w:pPr>
    </w:p>
    <w:p w:rsidR="00BA0112" w:rsidRDefault="00BA0112" w:rsidP="00832838">
      <w:pPr>
        <w:pStyle w:val="1"/>
        <w:ind w:left="4820"/>
        <w:rPr>
          <w:sz w:val="28"/>
          <w:szCs w:val="28"/>
        </w:rPr>
      </w:pPr>
    </w:p>
    <w:p w:rsidR="00832838" w:rsidRPr="001C0C44" w:rsidRDefault="00832838" w:rsidP="00832838">
      <w:pPr>
        <w:pStyle w:val="1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832838" w:rsidRDefault="00832838" w:rsidP="0083283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инвестиционных проектов, финансирование которых планируется осуществлять полностью или частично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 бюджета </w:t>
      </w:r>
      <w:r w:rsid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Бенецкого </w:t>
      </w:r>
      <w:r w:rsidR="00BA0112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</w:t>
      </w:r>
      <w:r w:rsidR="00BA0112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0112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 на предмет эффективности использования средств бюджета </w:t>
      </w:r>
      <w:r w:rsidR="00F6280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Бенецкого </w:t>
      </w:r>
      <w:r w:rsidR="00BA0112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Западнодвинск</w:t>
      </w:r>
      <w:r w:rsidR="00BA0112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0112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 направляемых на капитальные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</w:t>
      </w:r>
    </w:p>
    <w:p w:rsidR="002D58F8" w:rsidRPr="002D58F8" w:rsidRDefault="002D58F8" w:rsidP="002D58F8">
      <w:pPr>
        <w:rPr>
          <w:lang w:eastAsia="ru-RU"/>
        </w:rPr>
      </w:pPr>
    </w:p>
    <w:bookmarkEnd w:id="25"/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инвестиционного проекта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инвестиционного проекта:______________________.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инвестиционного проекта:______________________________.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 реализации инвестиционного проекта,</w:t>
      </w:r>
      <w:r w:rsidRPr="001C0C44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 все  этапы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годы.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Форма реализации инвестиционного проекта (строительство, реконструкция, в том числе с элементами реставрации, техническое перевооружение  объекта  капитального  строительства, приобретение объекта недвижимого имущества 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Местонахождение объекта капитальных вложений  (район/городской округ, городское/сельское поселение):___________________________________.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1C0C44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мощность объекта капитального строительства:_______________.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 Участники инвестиционного проекта:________________________.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Сведения   о  предполагаемом   застройщике   или   заказчике   (нужное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подчеркнуть):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наименование юридического лица __________________________________________________________________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юридического лица _________________________________________________________________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 __________________________________________________________________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Ф.И.О. руководителя юридического лица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Основные  ожидаемые  результаты  реализации  инвестиционного   проекта: _________________________________________________________.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(предельная) стоимость строительства, реконструкции, в том числе с элементами реставрации, техническое перевооружение объекта капитального строительства либо стоимость приобретения объекта недвижимого имущества (по отчету об оценке) (в ценах года представления паспорта инвестиционного проекта) или сметная стоимость строительства, реконструкции, в том числе с элементами реставрации, техническое перевооружение объекта капитального строительства (по заключению государственной экспертизы) (нужное подчеркнуть) с указанием года ее определения - _______ г. ________ тыс. рублей (включая НДС/без НДС - нужное подчеркнуть) /а также рассчитанная в ценах соответствующих лет,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 - _________ г. _________ тыс. рублей (заполняется по инвестиционным проектам, предусматривающим финансирование подготовки проектной докумен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за счет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Вид собственности объекта капитального строительства (реконструкции), создаваемого   (реконструируемого)   в   рамках    инвестиционного  проекта:______________________________________________.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 Отношение  ожидаемых  результатов  реализации  проекта с существующим дефицитом/профицитом  замещающих  услуг  (работ,  продукции),  производимых иными организациями: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1.12.1. __________________________ потенциальных   потребителей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(количество)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(продукции)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(указать вид услуг или продукции)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1.12.2. ________________________ потребителей, которые 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потребность  в  данном виде услуг (продукции) в связи с реализацией проекта при   обеспечении   проектируемого   (нормативного)   уровня  использования проектной мощности объекта.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проектной документации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Наличие проектной документации, степень ее готовности: __________________________________________________________________.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(отсутствует, разрабатывается, частично, имеется в полном объеме,     утверждена, указать вид, номер, дату документа,</w:t>
      </w:r>
      <w:r w:rsidRPr="001C0C44">
        <w:rPr>
          <w:rFonts w:ascii="Times New Roman" w:hAnsi="Times New Roman" w:cs="Times New Roman"/>
        </w:rPr>
        <w:t xml:space="preserve"> 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прилагается)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Проектная организация (при наличии):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юридического лица, юридический адрес)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Наличие положительного заключения государственной экспертизы проектной документации        и        результатов        инженерных   изысканий:_________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(отсутствует, на экспертизе до (указать дату выполнения экспертизы по договору), имеется (ссылка на документ, копия заключения прилагается или номер подпункта и пункта статьи 49 Градостроительного кодекса Российской Федерации, в соответствии с которым государственная экспертиза проектной  документации не проводится).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925"/>
      <w:bookmarkEnd w:id="26"/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Структура предполагаемых капитальных вложений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строительство, реконструкцию, в том числе с элементами реставрации, техническое перевооружение объекта капитального строительства и на приобретение объектов недвижимого имущества 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3"/>
        <w:gridCol w:w="2474"/>
        <w:gridCol w:w="3570"/>
      </w:tblGrid>
      <w:tr w:rsidR="00215944" w:rsidRPr="001C0C44" w:rsidTr="00915B92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Стоимость объекта капитального строительства (включая НДС), в текущих ценах</w:t>
            </w:r>
            <w:r w:rsidRPr="001C0C44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в ценах соответствующих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(предельная) стоимость объекта недвижимого имущества или стоимость приобретения объекта недвижимого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(в ценах года представления паспорта инвестиционного проекта)</w:t>
            </w: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3.1.Стоимость всего инвестиционного проекта: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3.1.1.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одготовка проектной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3.1.2.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риобретение машин и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3.1.4.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рочие затраты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Объемы и источники финансирования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реконструкции, в том числе с элементами реставрации, техническое перевооружение объекта капитального строительства, приобретение объекта недвижимого имущества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215944" w:rsidRPr="001C0C44" w:rsidTr="00915B92">
        <w:tc>
          <w:tcPr>
            <w:tcW w:w="9639" w:type="dxa"/>
          </w:tcPr>
          <w:p w:rsidR="00215944" w:rsidRPr="001C0C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215944" w:rsidRPr="001C0C44" w:rsidRDefault="00215944" w:rsidP="0021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15944" w:rsidRPr="001C0C44" w:rsidSect="00915B92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8"/>
        <w:gridCol w:w="1748"/>
        <w:gridCol w:w="1602"/>
        <w:gridCol w:w="1457"/>
        <w:gridCol w:w="1456"/>
        <w:gridCol w:w="1602"/>
      </w:tblGrid>
      <w:tr w:rsidR="00215944" w:rsidRPr="000F64DA" w:rsidTr="00915B92">
        <w:tc>
          <w:tcPr>
            <w:tcW w:w="2038" w:type="dxa"/>
            <w:vMerge w:val="restart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реализации инвестиционного проекта</w:t>
            </w:r>
          </w:p>
        </w:tc>
        <w:tc>
          <w:tcPr>
            <w:tcW w:w="1748" w:type="dxa"/>
            <w:vMerge w:val="restart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Стоимость объекта капиталь-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 xml:space="preserve">ного строительства (включая НДС), 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  <w:r w:rsidRPr="000F64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ценах соответст-вующих лет</w:t>
            </w:r>
          </w:p>
        </w:tc>
        <w:tc>
          <w:tcPr>
            <w:tcW w:w="6117" w:type="dxa"/>
            <w:gridSpan w:val="4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215944" w:rsidRPr="000F64DA" w:rsidTr="00915B92">
        <w:tc>
          <w:tcPr>
            <w:tcW w:w="2038" w:type="dxa"/>
            <w:vMerge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федераль-ный бюджет (в текущих ценах</w:t>
            </w:r>
            <w:r w:rsidRPr="000F6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ценах соответ-ствующих лет)</w:t>
            </w:r>
          </w:p>
        </w:tc>
        <w:tc>
          <w:tcPr>
            <w:tcW w:w="1457" w:type="dxa"/>
          </w:tcPr>
          <w:p w:rsidR="00215944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 xml:space="preserve">бюджет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(в текущих ценах</w:t>
            </w:r>
            <w:r w:rsidRPr="000F6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ценах соответ-ствующих лет)</w:t>
            </w:r>
          </w:p>
        </w:tc>
        <w:tc>
          <w:tcPr>
            <w:tcW w:w="1456" w:type="dxa"/>
          </w:tcPr>
          <w:p w:rsidR="00BA0112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62806">
              <w:rPr>
                <w:rFonts w:ascii="Times New Roman" w:hAnsi="Times New Roman" w:cs="Times New Roman"/>
                <w:sz w:val="24"/>
                <w:szCs w:val="24"/>
              </w:rPr>
              <w:t xml:space="preserve">Бенецкого </w:t>
            </w:r>
          </w:p>
          <w:p w:rsidR="00215944" w:rsidRPr="000F64DA" w:rsidRDefault="00BA0112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A6043">
              <w:rPr>
                <w:rFonts w:ascii="Times New Roman" w:hAnsi="Times New Roman" w:cs="Times New Roman"/>
                <w:sz w:val="24"/>
                <w:szCs w:val="24"/>
              </w:rPr>
              <w:t xml:space="preserve"> Западнодвинск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A60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944" w:rsidRPr="000F64DA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(в текущих ценах</w:t>
            </w:r>
            <w:r w:rsidRPr="000F6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ценах соответ-ствующих лет)</w:t>
            </w: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 xml:space="preserve">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(в текущих ценах</w:t>
            </w:r>
            <w:r w:rsidRPr="000F6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ценах соответ-ствующих лет)</w:t>
            </w:r>
          </w:p>
        </w:tc>
      </w:tr>
      <w:tr w:rsidR="00215944" w:rsidRPr="000F64DA" w:rsidTr="00915B92">
        <w:tc>
          <w:tcPr>
            <w:tcW w:w="203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ный проект - всего</w:t>
            </w:r>
          </w:p>
        </w:tc>
        <w:tc>
          <w:tcPr>
            <w:tcW w:w="174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44" w:rsidRPr="000F64DA" w:rsidTr="00915B92">
        <w:tc>
          <w:tcPr>
            <w:tcW w:w="203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44" w:rsidRPr="000F64DA" w:rsidTr="00915B92">
        <w:tc>
          <w:tcPr>
            <w:tcW w:w="203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74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44" w:rsidRPr="000F64DA" w:rsidTr="00915B92">
        <w:tc>
          <w:tcPr>
            <w:tcW w:w="203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A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748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5944" w:rsidRPr="000F64DA" w:rsidRDefault="00215944" w:rsidP="0091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Количественные показатели, характеризующие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инвестиционного проекта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____________________________________________________________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количественные показатели результатов реализации инвестиционного проекта)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Отношение предполагаемой (предельной) стоимости (в ценах года представления паспорта инвестиционного проекта) или сметной стоимости (по заключению государственной экспертизы) объекта капитального строительства к количественным показателям (показателю) результатов реализации инвестиционного проекта:__________________________________тыс. рублей.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Отношение предполагаемой (предельной) стоимости (в ценах года представления паспорта инвестиционного проекта) или стоимости приобретения объекта недвижимого имущества к количественным показателям (показателю) результатов реализации 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тыс. рублей.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5944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инициатора </w:t>
      </w:r>
    </w:p>
    <w:p w:rsidR="00215944" w:rsidRPr="005767CA" w:rsidRDefault="00215944" w:rsidP="0021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5767CA">
        <w:rPr>
          <w:rFonts w:ascii="Times New Roman" w:hAnsi="Times New Roman" w:cs="Times New Roman"/>
          <w:sz w:val="28"/>
          <w:szCs w:val="28"/>
        </w:rPr>
        <w:t>_________________/________/________/</w:t>
      </w:r>
    </w:p>
    <w:p w:rsidR="00215944" w:rsidRPr="00410842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08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        (подпись)    (Ф.И.О.)</w:t>
      </w:r>
      <w:r w:rsidRPr="004108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 20__ г.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5767CA" w:rsidRDefault="00215944" w:rsidP="002159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767CA">
        <w:rPr>
          <w:rFonts w:ascii="Times New Roman" w:hAnsi="Times New Roman" w:cs="Times New Roman"/>
          <w:sz w:val="28"/>
          <w:szCs w:val="28"/>
        </w:rPr>
        <w:t>_________________/________/________/</w:t>
      </w:r>
    </w:p>
    <w:p w:rsidR="00215944" w:rsidRPr="00410842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(должность)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  (Ф.И.О.)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944" w:rsidRPr="005767CA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(телефон)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pStyle w:val="1"/>
        <w:ind w:left="4678"/>
        <w:jc w:val="both"/>
        <w:rPr>
          <w:sz w:val="28"/>
          <w:szCs w:val="28"/>
        </w:rPr>
      </w:pPr>
      <w:r w:rsidRPr="001C0C44">
        <w:rPr>
          <w:sz w:val="28"/>
          <w:szCs w:val="28"/>
        </w:rPr>
        <w:t>Приложение 4</w:t>
      </w:r>
    </w:p>
    <w:p w:rsidR="00832838" w:rsidRDefault="00832838" w:rsidP="0083283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инвестиционных проектов, финансирование которых планируется осуществлять полностью или частично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 бюджета </w:t>
      </w:r>
      <w:r w:rsidR="00F6280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Бенецкого </w:t>
      </w:r>
      <w:r w:rsidR="008311EE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Западнодвинск</w:t>
      </w:r>
      <w:r w:rsidR="008311EE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11EE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 на предмет эффективности использования средств бюджета </w:t>
      </w:r>
      <w:r w:rsidR="00F6280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Бенецкого </w:t>
      </w:r>
      <w:r w:rsidR="008311EE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</w:t>
      </w:r>
      <w:r w:rsidR="008311EE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11EE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и показатели результатов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проекта-аналога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проекта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-аналога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:___________________________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реализации</w:t>
      </w:r>
      <w:r w:rsidRPr="001C0C44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-аналога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объекта капитальных вложений  (район/городской округ, городское/сельское поселение):______________________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реализации  проекта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-аналога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:___________________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 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(строительство,  реконструкция, в  том  числе с элементами реставрации, техническое перевооружение объекта капитального строительства, приобретение  объекта  недвижимого  имущества)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 результатов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проекта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-аналога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84" w:type="pct"/>
        <w:tblInd w:w="4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8"/>
        <w:gridCol w:w="5533"/>
        <w:gridCol w:w="1602"/>
        <w:gridCol w:w="1800"/>
      </w:tblGrid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-аналогу</w:t>
            </w: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-аналога, по заключению государственной экспертизы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года ее получения) /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</w:t>
            </w:r>
            <w:r w:rsidRPr="001C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определения) 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строительно-монтажные работы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rPr>
          <w:trHeight w:val="4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машин и оборудования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приобретение объекта недвижимого имущества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прямые результаты реализации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проекта-аналога</w:t>
            </w: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конечные результаты реализации </w:t>
            </w:r>
          </w:p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проекта-аналога</w:t>
            </w: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44" w:rsidRPr="001C0C44" w:rsidTr="00915B9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44" w:rsidRPr="001C0C44" w:rsidRDefault="00215944" w:rsidP="0091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5944" w:rsidRDefault="00215944" w:rsidP="0021594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инициатора </w:t>
      </w:r>
    </w:p>
    <w:p w:rsidR="00215944" w:rsidRPr="00C443F7" w:rsidRDefault="00215944" w:rsidP="00215944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1C0C44">
        <w:rPr>
          <w:rFonts w:ascii="Times New Roman" w:hAnsi="Times New Roman" w:cs="Times New Roman"/>
          <w:sz w:val="28"/>
          <w:szCs w:val="28"/>
        </w:rPr>
        <w:t>проверки</w:t>
      </w:r>
      <w:r w:rsidRPr="001C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43F7">
        <w:rPr>
          <w:rFonts w:ascii="Times New Roman" w:hAnsi="Times New Roman" w:cs="Times New Roman"/>
          <w:sz w:val="28"/>
          <w:szCs w:val="28"/>
        </w:rPr>
        <w:t>_________________/________/________/</w:t>
      </w:r>
    </w:p>
    <w:p w:rsidR="00215944" w:rsidRPr="00AD199E" w:rsidRDefault="00215944" w:rsidP="00215944">
      <w:pPr>
        <w:pStyle w:val="ConsPlusNonformat"/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AD1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(должность)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199E">
        <w:rPr>
          <w:rFonts w:ascii="Times New Roman" w:hAnsi="Times New Roman" w:cs="Times New Roman"/>
          <w:sz w:val="28"/>
          <w:szCs w:val="28"/>
        </w:rPr>
        <w:t xml:space="preserve">  (подпись)   (Ф.И.О.)</w:t>
      </w:r>
      <w:r w:rsidRPr="00AD199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 20__ г.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C35CCC" w:rsidRDefault="00215944" w:rsidP="00215944">
      <w:pPr>
        <w:rPr>
          <w:lang w:eastAsia="ru-RU"/>
        </w:rPr>
      </w:pPr>
    </w:p>
    <w:p w:rsidR="00215944" w:rsidRPr="001C0C44" w:rsidRDefault="00215944" w:rsidP="00215944">
      <w:pPr>
        <w:pStyle w:val="1"/>
        <w:ind w:left="4678"/>
        <w:jc w:val="both"/>
        <w:rPr>
          <w:sz w:val="28"/>
          <w:szCs w:val="28"/>
        </w:rPr>
      </w:pPr>
      <w:r w:rsidRPr="001C0C4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832838" w:rsidRDefault="00832838" w:rsidP="00832838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7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инвестиционных проектов, финансирование которых планируется осуществлять полностью или частично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 бюджета </w:t>
      </w:r>
      <w:r w:rsid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Бенецкого </w:t>
      </w:r>
      <w:r w:rsidR="008311EE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</w:t>
      </w:r>
      <w:r w:rsidR="008311EE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11EE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 на предмет эффективности использования средств </w:t>
      </w:r>
      <w:r w:rsidR="008311EE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F62806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Бенецкого </w:t>
      </w:r>
      <w:r w:rsidR="008311EE"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Западнодвинского района </w:t>
      </w:r>
      <w:r w:rsidRPr="00F62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 инвестиционного проекта,</w:t>
      </w:r>
      <w:r w:rsidRPr="001C0C44">
        <w:rPr>
          <w:rFonts w:ascii="Times New Roman" w:hAnsi="Times New Roman" w:cs="Times New Roman"/>
        </w:rPr>
        <w:t xml:space="preserve"> 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которого планируется осуществлять полностью </w:t>
      </w:r>
    </w:p>
    <w:p w:rsidR="002159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час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за счет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эффективности ис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средств местного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Сведения об инвестиционном проекте, представленном для проведения проверки на предмет эффективности 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согласно паспорту инвестиционного проекта: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инвестиционного проекта,</w:t>
      </w:r>
      <w:r w:rsidRPr="001C0C44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которого планируется осуществлять полностью или час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 за счет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предмет эффективности 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инициирована_____________________________________________________;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инициатора проверки)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инвестиционного проекта: ___________________________________________________________________;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 инвестиционного проекта:_________________________________;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форма реализации инвестиционного проекта: ___________________________________________________________________;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(строительство, реконструкция, в том числе с элементами реставрации, техническое перевооружение объекта капитального строительства, приобретение объектов недвижимого имущества);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срок реализации инвестиционного проекта, включая все этапы реализации проекта: _____________________  годы;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1.6. предполагаемая (предельная) стоимость строительства, реконструкции, в том числе с элементами реставрации, техническое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перевооружение объекта капитального строительства либо стоимость приобретения объекта недвижимого имущества (в ценах года представления паспорта инвестиционного проекта) / Сметная стоимость объекта капитального строительства (по заключению государственной экспертизы) либо стоимость приобретения объекта недвижимого имущества (по отчету об оценке): _______________                                          тыс. рублей;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  значения    количественных    показателей    (показателя)    реализации инвестиционного  проекта  с  указанием  единиц   измерения  показателей (показателя): 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по инвестиционному проекту на основе качественных критериев________________________________________________________.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эффективности 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по инвестиционному проекту на основе количественных критериев________________________________________________________.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C0C44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интегральной оценки эффективности 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 о результатах проверки инвестиционного проекта,</w:t>
      </w:r>
      <w:r w:rsidRPr="001C0C44">
        <w:rPr>
          <w:rFonts w:ascii="Times New Roman" w:hAnsi="Times New Roman" w:cs="Times New Roman"/>
        </w:rPr>
        <w:t xml:space="preserve"> 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которого планируется осуществлять полностью или части</w:t>
      </w:r>
      <w:r w:rsidR="00DA604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за счет 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предмет эффективности использования </w:t>
      </w:r>
      <w:r w:rsidR="0080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вложения: ______________________________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15944" w:rsidRPr="001C0C44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E75" w:rsidRPr="007930AC" w:rsidRDefault="007151B9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930AC" w:rsidRPr="007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Бенецкого </w:t>
      </w:r>
      <w:r w:rsidRPr="00793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151B9" w:rsidRPr="007930AC" w:rsidRDefault="007151B9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Западнодвинского района Тверской области</w:t>
      </w:r>
    </w:p>
    <w:p w:rsidR="00800E84" w:rsidRDefault="00800E8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2E75" w:rsidRPr="007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793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лицо)</w:t>
      </w:r>
    </w:p>
    <w:p w:rsidR="00215944" w:rsidRPr="005767CA" w:rsidRDefault="00800E8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15944" w:rsidRPr="005767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215944" w:rsidRPr="005767CA">
        <w:rPr>
          <w:rFonts w:ascii="Times New Roman" w:eastAsia="Times New Roman" w:hAnsi="Times New Roman" w:cs="Times New Roman"/>
          <w:sz w:val="28"/>
          <w:szCs w:val="28"/>
          <w:lang w:eastAsia="ru-RU"/>
        </w:rPr>
        <w:t>__/________/________/</w:t>
      </w:r>
    </w:p>
    <w:p w:rsidR="00215944" w:rsidRPr="009525E7" w:rsidRDefault="00800E8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(должность)  </w:t>
      </w:r>
      <w:r w:rsidR="00215944" w:rsidRPr="0095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21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44" w:rsidRPr="0095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(Ф.И.О.)</w:t>
      </w:r>
    </w:p>
    <w:p w:rsidR="00215944" w:rsidRPr="005767CA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15944" w:rsidRPr="005767CA" w:rsidRDefault="00215944" w:rsidP="0021594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 г.</w:t>
      </w:r>
    </w:p>
    <w:sectPr w:rsidR="00215944" w:rsidRPr="005767CA" w:rsidSect="00915B92">
      <w:footnotePr>
        <w:numRestart w:val="eachSect"/>
      </w:footnotePr>
      <w:type w:val="continuous"/>
      <w:pgSz w:w="11905" w:h="16838"/>
      <w:pgMar w:top="993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2B" w:rsidRDefault="005A6A2B" w:rsidP="00215944">
      <w:pPr>
        <w:spacing w:after="0" w:line="240" w:lineRule="auto"/>
      </w:pPr>
      <w:r>
        <w:separator/>
      </w:r>
    </w:p>
  </w:endnote>
  <w:endnote w:type="continuationSeparator" w:id="1">
    <w:p w:rsidR="005A6A2B" w:rsidRDefault="005A6A2B" w:rsidP="0021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06" w:rsidRPr="0042235D" w:rsidRDefault="00F62806">
    <w:pPr>
      <w:pStyle w:val="a5"/>
      <w:jc w:val="center"/>
      <w:rPr>
        <w:rFonts w:ascii="Times New Roman" w:hAnsi="Times New Roman"/>
      </w:rPr>
    </w:pPr>
  </w:p>
  <w:p w:rsidR="00F62806" w:rsidRDefault="00F62806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06" w:rsidRPr="005F6001" w:rsidRDefault="00F62806" w:rsidP="00915B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2B" w:rsidRDefault="005A6A2B" w:rsidP="00215944">
      <w:pPr>
        <w:spacing w:after="0" w:line="240" w:lineRule="auto"/>
      </w:pPr>
      <w:r>
        <w:separator/>
      </w:r>
    </w:p>
  </w:footnote>
  <w:footnote w:type="continuationSeparator" w:id="1">
    <w:p w:rsidR="005A6A2B" w:rsidRDefault="005A6A2B" w:rsidP="00215944">
      <w:pPr>
        <w:spacing w:after="0" w:line="240" w:lineRule="auto"/>
      </w:pPr>
      <w:r>
        <w:continuationSeparator/>
      </w:r>
    </w:p>
  </w:footnote>
  <w:footnote w:id="2">
    <w:p w:rsidR="00F62806" w:rsidRDefault="00F62806" w:rsidP="00215944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>
        <w:t xml:space="preserve"> </w:t>
      </w:r>
      <w:r w:rsidRPr="00655FA1">
        <w:rPr>
          <w:rFonts w:ascii="Times New Roman" w:hAnsi="Times New Roman" w:cs="Times New Roman"/>
          <w:sz w:val="24"/>
          <w:szCs w:val="24"/>
        </w:rPr>
        <w:t xml:space="preserve">В ценах года расчета сметной стоимости, указанного в </w:t>
      </w:r>
      <w:hyperlink r:id="rId1" w:history="1">
        <w:r w:rsidRPr="00655FA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1.10</w:t>
      </w:r>
      <w:r w:rsidRPr="00655FA1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экспертизы), для предполагаемой (предельной) стоимости строительства - в ценах года предоставления настоящего паспорта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F62806" w:rsidRPr="00655FA1" w:rsidRDefault="00F62806" w:rsidP="00215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655FA1">
        <w:rPr>
          <w:rFonts w:ascii="Times New Roman" w:hAnsi="Times New Roman" w:cs="Times New Roman"/>
          <w:sz w:val="24"/>
          <w:szCs w:val="24"/>
        </w:rPr>
        <w:t xml:space="preserve">В ценах года расчета сметной стоимости, указанного в </w:t>
      </w:r>
      <w:hyperlink r:id="rId2" w:history="1">
        <w:r w:rsidRPr="00655FA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1.10</w:t>
      </w:r>
      <w:r w:rsidRPr="00655FA1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экспертизы), для предполагаемой (предельной) стоимости строительства - в ценах года предоставления настоящего паспорта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806" w:rsidRDefault="00F62806" w:rsidP="00215944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0115694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62806" w:rsidRPr="001C0C44" w:rsidRDefault="00F62806">
        <w:pPr>
          <w:pStyle w:val="a3"/>
          <w:jc w:val="center"/>
          <w:rPr>
            <w:rFonts w:ascii="Times New Roman" w:hAnsi="Times New Roman"/>
            <w:sz w:val="24"/>
          </w:rPr>
        </w:pPr>
        <w:r w:rsidRPr="001C0C44">
          <w:rPr>
            <w:rFonts w:ascii="Times New Roman" w:hAnsi="Times New Roman"/>
            <w:sz w:val="24"/>
          </w:rPr>
          <w:fldChar w:fldCharType="begin"/>
        </w:r>
        <w:r w:rsidRPr="001C0C44">
          <w:rPr>
            <w:rFonts w:ascii="Times New Roman" w:hAnsi="Times New Roman"/>
            <w:sz w:val="24"/>
          </w:rPr>
          <w:instrText>PAGE   \* MERGEFORMAT</w:instrText>
        </w:r>
        <w:r w:rsidRPr="001C0C44">
          <w:rPr>
            <w:rFonts w:ascii="Times New Roman" w:hAnsi="Times New Roman"/>
            <w:sz w:val="24"/>
          </w:rPr>
          <w:fldChar w:fldCharType="separate"/>
        </w:r>
        <w:r w:rsidR="007930AC">
          <w:rPr>
            <w:rFonts w:ascii="Times New Roman" w:hAnsi="Times New Roman"/>
            <w:noProof/>
            <w:sz w:val="24"/>
          </w:rPr>
          <w:t>3</w:t>
        </w:r>
        <w:r w:rsidRPr="001C0C4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BE"/>
    <w:multiLevelType w:val="hybridMultilevel"/>
    <w:tmpl w:val="975297B2"/>
    <w:lvl w:ilvl="0" w:tplc="1160D4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A7C"/>
    <w:multiLevelType w:val="hybridMultilevel"/>
    <w:tmpl w:val="53A2DCE8"/>
    <w:lvl w:ilvl="0" w:tplc="D130D54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DF72E1"/>
    <w:multiLevelType w:val="hybridMultilevel"/>
    <w:tmpl w:val="F77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7ADB"/>
    <w:multiLevelType w:val="multilevel"/>
    <w:tmpl w:val="DEAAC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C347A8"/>
    <w:multiLevelType w:val="multilevel"/>
    <w:tmpl w:val="8580D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163547"/>
    <w:multiLevelType w:val="hybridMultilevel"/>
    <w:tmpl w:val="2D8EF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944D6"/>
    <w:multiLevelType w:val="hybridMultilevel"/>
    <w:tmpl w:val="6584D30C"/>
    <w:lvl w:ilvl="0" w:tplc="D08E8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5656C"/>
    <w:multiLevelType w:val="hybridMultilevel"/>
    <w:tmpl w:val="955C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11210"/>
    <w:multiLevelType w:val="hybridMultilevel"/>
    <w:tmpl w:val="D9A0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AEC"/>
    <w:multiLevelType w:val="hybridMultilevel"/>
    <w:tmpl w:val="FB244C80"/>
    <w:lvl w:ilvl="0" w:tplc="4D229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6BD98">
      <w:numFmt w:val="none"/>
      <w:lvlText w:val=""/>
      <w:lvlJc w:val="left"/>
      <w:pPr>
        <w:tabs>
          <w:tab w:val="num" w:pos="360"/>
        </w:tabs>
      </w:pPr>
    </w:lvl>
    <w:lvl w:ilvl="2" w:tplc="1FDEF5D8">
      <w:numFmt w:val="none"/>
      <w:lvlText w:val=""/>
      <w:lvlJc w:val="left"/>
      <w:pPr>
        <w:tabs>
          <w:tab w:val="num" w:pos="360"/>
        </w:tabs>
      </w:pPr>
    </w:lvl>
    <w:lvl w:ilvl="3" w:tplc="20DE643C">
      <w:numFmt w:val="none"/>
      <w:lvlText w:val=""/>
      <w:lvlJc w:val="left"/>
      <w:pPr>
        <w:tabs>
          <w:tab w:val="num" w:pos="360"/>
        </w:tabs>
      </w:pPr>
    </w:lvl>
    <w:lvl w:ilvl="4" w:tplc="BEA2EFDA">
      <w:numFmt w:val="none"/>
      <w:lvlText w:val=""/>
      <w:lvlJc w:val="left"/>
      <w:pPr>
        <w:tabs>
          <w:tab w:val="num" w:pos="360"/>
        </w:tabs>
      </w:pPr>
    </w:lvl>
    <w:lvl w:ilvl="5" w:tplc="1180ADCA">
      <w:numFmt w:val="none"/>
      <w:lvlText w:val=""/>
      <w:lvlJc w:val="left"/>
      <w:pPr>
        <w:tabs>
          <w:tab w:val="num" w:pos="360"/>
        </w:tabs>
      </w:pPr>
    </w:lvl>
    <w:lvl w:ilvl="6" w:tplc="9FAC34FC">
      <w:numFmt w:val="none"/>
      <w:lvlText w:val=""/>
      <w:lvlJc w:val="left"/>
      <w:pPr>
        <w:tabs>
          <w:tab w:val="num" w:pos="360"/>
        </w:tabs>
      </w:pPr>
    </w:lvl>
    <w:lvl w:ilvl="7" w:tplc="0D0E42DC">
      <w:numFmt w:val="none"/>
      <w:lvlText w:val=""/>
      <w:lvlJc w:val="left"/>
      <w:pPr>
        <w:tabs>
          <w:tab w:val="num" w:pos="360"/>
        </w:tabs>
      </w:pPr>
    </w:lvl>
    <w:lvl w:ilvl="8" w:tplc="4138501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B90648"/>
    <w:multiLevelType w:val="hybridMultilevel"/>
    <w:tmpl w:val="9A4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C12D7"/>
    <w:multiLevelType w:val="hybridMultilevel"/>
    <w:tmpl w:val="7C5098C4"/>
    <w:lvl w:ilvl="0" w:tplc="448651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57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5944"/>
    <w:rsid w:val="000054F9"/>
    <w:rsid w:val="00032190"/>
    <w:rsid w:val="00074694"/>
    <w:rsid w:val="00076B70"/>
    <w:rsid w:val="000903C5"/>
    <w:rsid w:val="000A0120"/>
    <w:rsid w:val="000B1517"/>
    <w:rsid w:val="000B3F02"/>
    <w:rsid w:val="000B7690"/>
    <w:rsid w:val="000D0CEC"/>
    <w:rsid w:val="00151E1E"/>
    <w:rsid w:val="001B7DE0"/>
    <w:rsid w:val="001C0BAD"/>
    <w:rsid w:val="002002AD"/>
    <w:rsid w:val="00214316"/>
    <w:rsid w:val="00215944"/>
    <w:rsid w:val="00244C02"/>
    <w:rsid w:val="00256C35"/>
    <w:rsid w:val="00264BBF"/>
    <w:rsid w:val="00273FCB"/>
    <w:rsid w:val="0028425B"/>
    <w:rsid w:val="002A4C60"/>
    <w:rsid w:val="002B4A6D"/>
    <w:rsid w:val="002B7702"/>
    <w:rsid w:val="002D58F8"/>
    <w:rsid w:val="002F2C72"/>
    <w:rsid w:val="003146BE"/>
    <w:rsid w:val="003149D3"/>
    <w:rsid w:val="003223A2"/>
    <w:rsid w:val="003641FB"/>
    <w:rsid w:val="00374B21"/>
    <w:rsid w:val="0038344E"/>
    <w:rsid w:val="003C02AF"/>
    <w:rsid w:val="003F2F3D"/>
    <w:rsid w:val="00424FA6"/>
    <w:rsid w:val="004323D5"/>
    <w:rsid w:val="00437844"/>
    <w:rsid w:val="004620AF"/>
    <w:rsid w:val="00493D79"/>
    <w:rsid w:val="00496BE0"/>
    <w:rsid w:val="004B7054"/>
    <w:rsid w:val="004C749F"/>
    <w:rsid w:val="004C77B5"/>
    <w:rsid w:val="004E2641"/>
    <w:rsid w:val="004E30B8"/>
    <w:rsid w:val="004E3BF9"/>
    <w:rsid w:val="004E543D"/>
    <w:rsid w:val="00541283"/>
    <w:rsid w:val="00543218"/>
    <w:rsid w:val="005601BE"/>
    <w:rsid w:val="005A6A2B"/>
    <w:rsid w:val="005E0299"/>
    <w:rsid w:val="005F4655"/>
    <w:rsid w:val="005F6340"/>
    <w:rsid w:val="00601D31"/>
    <w:rsid w:val="006229B2"/>
    <w:rsid w:val="0064076F"/>
    <w:rsid w:val="00656FAB"/>
    <w:rsid w:val="00662637"/>
    <w:rsid w:val="006A3372"/>
    <w:rsid w:val="006F3D49"/>
    <w:rsid w:val="0070030F"/>
    <w:rsid w:val="00704CA2"/>
    <w:rsid w:val="007151B9"/>
    <w:rsid w:val="0072181B"/>
    <w:rsid w:val="00731F3C"/>
    <w:rsid w:val="0074580D"/>
    <w:rsid w:val="0077163C"/>
    <w:rsid w:val="00775AB5"/>
    <w:rsid w:val="00787D2B"/>
    <w:rsid w:val="007930AC"/>
    <w:rsid w:val="00796836"/>
    <w:rsid w:val="007E0DA3"/>
    <w:rsid w:val="00800E84"/>
    <w:rsid w:val="00822A58"/>
    <w:rsid w:val="00824D12"/>
    <w:rsid w:val="008311EE"/>
    <w:rsid w:val="00832838"/>
    <w:rsid w:val="00837AAA"/>
    <w:rsid w:val="00843139"/>
    <w:rsid w:val="0085358D"/>
    <w:rsid w:val="00863FC7"/>
    <w:rsid w:val="00875E79"/>
    <w:rsid w:val="008A2F75"/>
    <w:rsid w:val="008E1EB1"/>
    <w:rsid w:val="00915B92"/>
    <w:rsid w:val="0091723B"/>
    <w:rsid w:val="009312BB"/>
    <w:rsid w:val="009653BD"/>
    <w:rsid w:val="009B1A02"/>
    <w:rsid w:val="009C56E0"/>
    <w:rsid w:val="009E2E2A"/>
    <w:rsid w:val="009F7C8A"/>
    <w:rsid w:val="009F7FBB"/>
    <w:rsid w:val="00A125A9"/>
    <w:rsid w:val="00A26C60"/>
    <w:rsid w:val="00A44EA1"/>
    <w:rsid w:val="00A56DE0"/>
    <w:rsid w:val="00A67DF7"/>
    <w:rsid w:val="00A86EE2"/>
    <w:rsid w:val="00AA12D6"/>
    <w:rsid w:val="00AA6594"/>
    <w:rsid w:val="00AC32E8"/>
    <w:rsid w:val="00AD78A1"/>
    <w:rsid w:val="00B134D7"/>
    <w:rsid w:val="00B13BE9"/>
    <w:rsid w:val="00B13DDE"/>
    <w:rsid w:val="00B159A8"/>
    <w:rsid w:val="00BA0112"/>
    <w:rsid w:val="00BA0428"/>
    <w:rsid w:val="00BB4F81"/>
    <w:rsid w:val="00BE12D2"/>
    <w:rsid w:val="00C13D27"/>
    <w:rsid w:val="00C2009E"/>
    <w:rsid w:val="00C467EC"/>
    <w:rsid w:val="00C93DB9"/>
    <w:rsid w:val="00C946C8"/>
    <w:rsid w:val="00C954A3"/>
    <w:rsid w:val="00C95C69"/>
    <w:rsid w:val="00CA6CF4"/>
    <w:rsid w:val="00CD0782"/>
    <w:rsid w:val="00CE18B6"/>
    <w:rsid w:val="00D116AB"/>
    <w:rsid w:val="00D27ADD"/>
    <w:rsid w:val="00D36423"/>
    <w:rsid w:val="00D538A9"/>
    <w:rsid w:val="00D74A04"/>
    <w:rsid w:val="00DA6043"/>
    <w:rsid w:val="00DB67AF"/>
    <w:rsid w:val="00E33C8E"/>
    <w:rsid w:val="00E35744"/>
    <w:rsid w:val="00E61721"/>
    <w:rsid w:val="00E846F1"/>
    <w:rsid w:val="00E97005"/>
    <w:rsid w:val="00ED3E9D"/>
    <w:rsid w:val="00ED4220"/>
    <w:rsid w:val="00EF19CF"/>
    <w:rsid w:val="00EF2928"/>
    <w:rsid w:val="00EF2C2D"/>
    <w:rsid w:val="00F0352B"/>
    <w:rsid w:val="00F62806"/>
    <w:rsid w:val="00F679D0"/>
    <w:rsid w:val="00F8705D"/>
    <w:rsid w:val="00F870A5"/>
    <w:rsid w:val="00F92762"/>
    <w:rsid w:val="00F935A2"/>
    <w:rsid w:val="00FA4516"/>
    <w:rsid w:val="00FD2E75"/>
    <w:rsid w:val="00FE12C9"/>
    <w:rsid w:val="00FF626E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9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59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594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944"/>
    <w:rPr>
      <w:sz w:val="24"/>
    </w:rPr>
  </w:style>
  <w:style w:type="character" w:customStyle="1" w:styleId="20">
    <w:name w:val="Заголовок 2 Знак"/>
    <w:basedOn w:val="a0"/>
    <w:link w:val="2"/>
    <w:rsid w:val="00215944"/>
    <w:rPr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15944"/>
  </w:style>
  <w:style w:type="paragraph" w:customStyle="1" w:styleId="ConsPlusNormal">
    <w:name w:val="ConsPlusNormal"/>
    <w:rsid w:val="002159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159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59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59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159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5944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159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15944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15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5944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2159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15944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unhideWhenUsed/>
    <w:rsid w:val="00215944"/>
    <w:rPr>
      <w:vertAlign w:val="superscript"/>
    </w:rPr>
  </w:style>
  <w:style w:type="paragraph" w:styleId="ac">
    <w:name w:val="TOC Heading"/>
    <w:basedOn w:val="1"/>
    <w:next w:val="a"/>
    <w:uiPriority w:val="39"/>
    <w:semiHidden/>
    <w:unhideWhenUsed/>
    <w:qFormat/>
    <w:rsid w:val="0021594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1594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215944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21594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unhideWhenUsed/>
    <w:rsid w:val="0021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15944"/>
    <w:rPr>
      <w:rFonts w:ascii="Tahoma" w:eastAsiaTheme="minorHAnsi" w:hAnsi="Tahoma" w:cs="Tahoma"/>
      <w:sz w:val="16"/>
      <w:szCs w:val="16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215944"/>
    <w:pPr>
      <w:spacing w:after="100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15944"/>
  </w:style>
  <w:style w:type="character" w:styleId="af0">
    <w:name w:val="Placeholder Text"/>
    <w:basedOn w:val="a0"/>
    <w:uiPriority w:val="99"/>
    <w:semiHidden/>
    <w:rsid w:val="00215944"/>
    <w:rPr>
      <w:color w:val="808080"/>
    </w:rPr>
  </w:style>
  <w:style w:type="paragraph" w:styleId="af1">
    <w:name w:val="endnote text"/>
    <w:basedOn w:val="a"/>
    <w:link w:val="af2"/>
    <w:uiPriority w:val="99"/>
    <w:unhideWhenUsed/>
    <w:rsid w:val="0021594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15944"/>
    <w:rPr>
      <w:rFonts w:asciiTheme="minorHAnsi" w:eastAsiaTheme="minorHAnsi" w:hAnsiTheme="minorHAnsi" w:cstheme="minorBidi"/>
      <w:lang w:eastAsia="en-US"/>
    </w:rPr>
  </w:style>
  <w:style w:type="character" w:styleId="af3">
    <w:name w:val="endnote reference"/>
    <w:basedOn w:val="a0"/>
    <w:uiPriority w:val="99"/>
    <w:unhideWhenUsed/>
    <w:rsid w:val="002159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F4D742995B8A545539517768C5DAF752F6453386290AB110B85066ECD3FC7C280B052BEB856D571g0NBI" TargetMode="External"/><Relationship Id="rId1" Type="http://schemas.openxmlformats.org/officeDocument/2006/relationships/hyperlink" Target="consultantplus://offline/ref=DF4D742995B8A545539517768C5DAF752F6453386290AB110B85066ECD3FC7C280B052BEB856D571g0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92D8-36D5-4D43-8A99-B3F7B44B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11194</Words>
  <Characters>63807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2018-03-22T11:28:00Z</cp:lastPrinted>
  <dcterms:created xsi:type="dcterms:W3CDTF">2018-01-24T11:08:00Z</dcterms:created>
  <dcterms:modified xsi:type="dcterms:W3CDTF">2018-04-03T13:32:00Z</dcterms:modified>
</cp:coreProperties>
</file>